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5AA" w:rsidRDefault="003565AA" w:rsidP="00310941">
      <w:pPr>
        <w:spacing w:before="240" w:line="300" w:lineRule="auto"/>
        <w:jc w:val="center"/>
        <w:rPr>
          <w:rFonts w:ascii="Arial" w:hAnsi="Arial" w:cs="Arial"/>
          <w:b/>
          <w:bCs/>
          <w:sz w:val="24"/>
          <w:szCs w:val="24"/>
          <w:u w:val="single"/>
        </w:rPr>
      </w:pPr>
    </w:p>
    <w:p w:rsidR="003565AA" w:rsidRDefault="003565AA" w:rsidP="00310941">
      <w:pPr>
        <w:spacing w:before="240" w:line="300" w:lineRule="auto"/>
        <w:jc w:val="center"/>
        <w:rPr>
          <w:rFonts w:ascii="Arial" w:hAnsi="Arial" w:cs="Arial"/>
          <w:b/>
          <w:bCs/>
          <w:sz w:val="24"/>
          <w:szCs w:val="24"/>
          <w:u w:val="single"/>
        </w:rPr>
      </w:pPr>
    </w:p>
    <w:p w:rsidR="003565AA" w:rsidRPr="00310941" w:rsidRDefault="003565AA" w:rsidP="00310941">
      <w:pPr>
        <w:spacing w:before="240" w:line="300" w:lineRule="auto"/>
        <w:jc w:val="center"/>
        <w:rPr>
          <w:rFonts w:ascii="Arial" w:hAnsi="Arial" w:cs="Arial"/>
          <w:b/>
          <w:bCs/>
          <w:sz w:val="24"/>
          <w:szCs w:val="24"/>
          <w:u w:val="single"/>
        </w:rPr>
      </w:pPr>
      <w:r w:rsidRPr="00310941">
        <w:rPr>
          <w:rFonts w:ascii="Arial" w:hAnsi="Arial" w:cs="Arial"/>
          <w:b/>
          <w:bCs/>
          <w:sz w:val="24"/>
          <w:szCs w:val="24"/>
          <w:u w:val="single"/>
        </w:rPr>
        <w:t>A LA EXCMA. SRA. DIRECTORA GENERAL DE LA GUARDIA CIVIL</w:t>
      </w:r>
    </w:p>
    <w:p w:rsidR="003565AA" w:rsidRPr="00707B5E" w:rsidRDefault="003565AA" w:rsidP="00310941">
      <w:pPr>
        <w:spacing w:before="240" w:line="300" w:lineRule="auto"/>
        <w:jc w:val="center"/>
        <w:rPr>
          <w:rFonts w:ascii="Arial" w:hAnsi="Arial" w:cs="Arial"/>
          <w:sz w:val="20"/>
          <w:szCs w:val="20"/>
          <w:u w:val="single"/>
        </w:rPr>
      </w:pPr>
      <w:r w:rsidRPr="00707B5E">
        <w:rPr>
          <w:rFonts w:ascii="Arial" w:hAnsi="Arial" w:cs="Arial"/>
          <w:sz w:val="20"/>
          <w:szCs w:val="20"/>
          <w:u w:val="single"/>
        </w:rPr>
        <w:t>SERVICIO DE RETRIBUCIONES</w:t>
      </w:r>
    </w:p>
    <w:p w:rsidR="003565AA" w:rsidRPr="002040E7" w:rsidRDefault="003565AA" w:rsidP="00310941">
      <w:pPr>
        <w:spacing w:before="240" w:line="300" w:lineRule="auto"/>
        <w:jc w:val="both"/>
        <w:rPr>
          <w:rFonts w:ascii="Arial" w:hAnsi="Arial" w:cs="Arial"/>
          <w:sz w:val="24"/>
          <w:szCs w:val="24"/>
        </w:rPr>
      </w:pPr>
    </w:p>
    <w:p w:rsidR="003565AA" w:rsidRPr="002040E7" w:rsidRDefault="003565AA" w:rsidP="00310941">
      <w:pPr>
        <w:spacing w:before="240" w:line="300" w:lineRule="auto"/>
        <w:jc w:val="both"/>
        <w:rPr>
          <w:rFonts w:ascii="Arial" w:hAnsi="Arial" w:cs="Arial"/>
          <w:b/>
          <w:bCs/>
          <w:sz w:val="24"/>
          <w:szCs w:val="24"/>
        </w:rPr>
      </w:pPr>
      <w:r w:rsidRPr="002040E7">
        <w:rPr>
          <w:rFonts w:ascii="Arial" w:hAnsi="Arial" w:cs="Arial"/>
          <w:sz w:val="24"/>
          <w:szCs w:val="24"/>
        </w:rPr>
        <w:tab/>
      </w:r>
      <w:r w:rsidR="00CA5E20" w:rsidRPr="00FD79A7">
        <w:rPr>
          <w:rFonts w:ascii="Arial" w:hAnsi="Arial" w:cs="Arial"/>
          <w:color w:val="FF0000"/>
          <w:sz w:val="24"/>
          <w:szCs w:val="24"/>
        </w:rPr>
        <w:t xml:space="preserve">D/Dña.                                                    </w:t>
      </w:r>
      <w:r w:rsidRPr="002040E7">
        <w:rPr>
          <w:rFonts w:ascii="Arial" w:hAnsi="Arial" w:cs="Arial"/>
          <w:sz w:val="24"/>
          <w:szCs w:val="24"/>
        </w:rPr>
        <w:t xml:space="preserve">, provisto de DNI núm. </w:t>
      </w:r>
      <w:r w:rsidR="00CA5E20" w:rsidRPr="00FD79A7">
        <w:rPr>
          <w:rFonts w:ascii="Arial" w:hAnsi="Arial" w:cs="Arial"/>
          <w:color w:val="FF0000"/>
          <w:sz w:val="24"/>
          <w:szCs w:val="24"/>
        </w:rPr>
        <w:t>00.000.000-X</w:t>
      </w:r>
      <w:r w:rsidRPr="00FD79A7">
        <w:rPr>
          <w:rFonts w:ascii="Arial" w:hAnsi="Arial" w:cs="Arial"/>
          <w:color w:val="FF0000"/>
          <w:sz w:val="24"/>
          <w:szCs w:val="24"/>
        </w:rPr>
        <w:t xml:space="preserve"> </w:t>
      </w:r>
      <w:r w:rsidRPr="002040E7">
        <w:rPr>
          <w:rFonts w:ascii="Arial" w:hAnsi="Arial" w:cs="Arial"/>
          <w:sz w:val="24"/>
          <w:szCs w:val="24"/>
        </w:rPr>
        <w:t xml:space="preserve">Guardia Civil con destino en el Puesto Principal </w:t>
      </w:r>
      <w:r w:rsidR="00CA5E20" w:rsidRPr="002040E7">
        <w:rPr>
          <w:rFonts w:ascii="Arial" w:hAnsi="Arial" w:cs="Arial"/>
          <w:sz w:val="24"/>
          <w:szCs w:val="24"/>
        </w:rPr>
        <w:t>de</w:t>
      </w:r>
      <w:r w:rsidR="00CA5E20" w:rsidRPr="00FD79A7">
        <w:rPr>
          <w:rFonts w:ascii="Arial" w:hAnsi="Arial" w:cs="Arial"/>
          <w:color w:val="FF0000"/>
          <w:sz w:val="24"/>
          <w:szCs w:val="24"/>
        </w:rPr>
        <w:t>……..</w:t>
      </w:r>
      <w:r w:rsidRPr="00FD79A7">
        <w:rPr>
          <w:rFonts w:ascii="Arial" w:hAnsi="Arial" w:cs="Arial"/>
          <w:color w:val="FF0000"/>
          <w:sz w:val="24"/>
          <w:szCs w:val="24"/>
        </w:rPr>
        <w:t xml:space="preserve">, </w:t>
      </w:r>
      <w:r w:rsidRPr="002040E7">
        <w:rPr>
          <w:rFonts w:ascii="Arial" w:hAnsi="Arial" w:cs="Arial"/>
          <w:sz w:val="24"/>
          <w:szCs w:val="24"/>
        </w:rPr>
        <w:t xml:space="preserve">encuadrado en la Comandancia </w:t>
      </w:r>
      <w:r w:rsidR="00CA5E20" w:rsidRPr="002040E7">
        <w:rPr>
          <w:rFonts w:ascii="Arial" w:hAnsi="Arial" w:cs="Arial"/>
          <w:sz w:val="24"/>
          <w:szCs w:val="24"/>
        </w:rPr>
        <w:t>de</w:t>
      </w:r>
      <w:r w:rsidR="00CA5E20" w:rsidRPr="00FD79A7">
        <w:rPr>
          <w:rFonts w:ascii="Arial" w:hAnsi="Arial" w:cs="Arial"/>
          <w:color w:val="FF0000"/>
          <w:sz w:val="24"/>
          <w:szCs w:val="24"/>
        </w:rPr>
        <w:t xml:space="preserve">…….., </w:t>
      </w:r>
      <w:r w:rsidR="00CA5E20">
        <w:rPr>
          <w:rFonts w:ascii="Arial" w:hAnsi="Arial" w:cs="Arial"/>
          <w:sz w:val="24"/>
          <w:szCs w:val="24"/>
        </w:rPr>
        <w:t xml:space="preserve">ante VE., </w:t>
      </w:r>
      <w:r w:rsidRPr="002040E7">
        <w:rPr>
          <w:rFonts w:ascii="Arial" w:hAnsi="Arial" w:cs="Arial"/>
          <w:sz w:val="24"/>
          <w:szCs w:val="24"/>
        </w:rPr>
        <w:t xml:space="preserve">comparezco y como mejor proceda en Derecho </w:t>
      </w:r>
      <w:r w:rsidRPr="002040E7">
        <w:rPr>
          <w:rFonts w:ascii="Arial" w:hAnsi="Arial" w:cs="Arial"/>
          <w:b/>
          <w:bCs/>
          <w:sz w:val="24"/>
          <w:szCs w:val="24"/>
        </w:rPr>
        <w:t>DIGO:</w:t>
      </w:r>
    </w:p>
    <w:p w:rsidR="003565AA" w:rsidRDefault="003565AA" w:rsidP="00310941">
      <w:pPr>
        <w:spacing w:before="240" w:line="300" w:lineRule="auto"/>
        <w:jc w:val="both"/>
        <w:rPr>
          <w:rFonts w:ascii="Arial" w:hAnsi="Arial" w:cs="Arial"/>
          <w:b/>
          <w:bCs/>
          <w:sz w:val="24"/>
          <w:szCs w:val="24"/>
        </w:rPr>
      </w:pPr>
    </w:p>
    <w:p w:rsidR="003565AA" w:rsidRDefault="003565AA" w:rsidP="00A81559">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b/>
          <w:bCs/>
          <w:sz w:val="24"/>
          <w:szCs w:val="24"/>
        </w:rPr>
        <w:tab/>
        <w:t xml:space="preserve">PRIMERO. - </w:t>
      </w:r>
      <w:r>
        <w:rPr>
          <w:rFonts w:ascii="Arial" w:hAnsi="Arial" w:cs="Arial"/>
          <w:b/>
          <w:bCs/>
          <w:sz w:val="24"/>
          <w:szCs w:val="24"/>
        </w:rPr>
        <w:tab/>
      </w:r>
      <w:r>
        <w:rPr>
          <w:rFonts w:ascii="Arial" w:hAnsi="Arial" w:cs="Arial"/>
          <w:sz w:val="24"/>
          <w:szCs w:val="24"/>
        </w:rPr>
        <w:t xml:space="preserve">Que en fecha </w:t>
      </w:r>
      <w:r w:rsidRPr="00A81559">
        <w:rPr>
          <w:rFonts w:ascii="Arial" w:hAnsi="Arial" w:cs="Arial"/>
          <w:sz w:val="24"/>
          <w:szCs w:val="24"/>
        </w:rPr>
        <w:t>30 de diciembre de 2014</w:t>
      </w:r>
      <w:r>
        <w:rPr>
          <w:rFonts w:ascii="Arial" w:hAnsi="Arial" w:cs="Arial"/>
          <w:sz w:val="24"/>
          <w:szCs w:val="24"/>
        </w:rPr>
        <w:t xml:space="preserve"> se publica en el Boletín Oficial de la Guardia Civil Núm.56 </w:t>
      </w:r>
      <w:r w:rsidRPr="00A81559">
        <w:rPr>
          <w:rFonts w:ascii="Arial" w:hAnsi="Arial" w:cs="Arial"/>
          <w:sz w:val="24"/>
          <w:szCs w:val="24"/>
        </w:rPr>
        <w:t>Orden General número 12, dada en Madrid a 23 de diciembre de 2014, por la</w:t>
      </w:r>
      <w:r>
        <w:rPr>
          <w:rFonts w:ascii="Arial" w:hAnsi="Arial" w:cs="Arial"/>
          <w:sz w:val="24"/>
          <w:szCs w:val="24"/>
        </w:rPr>
        <w:t xml:space="preserve"> </w:t>
      </w:r>
      <w:r w:rsidRPr="00A81559">
        <w:rPr>
          <w:rFonts w:ascii="Arial" w:hAnsi="Arial" w:cs="Arial"/>
          <w:sz w:val="24"/>
          <w:szCs w:val="24"/>
        </w:rPr>
        <w:t>que se regulan los incentivos al rendimiento del personal de la Guardia Civil</w:t>
      </w:r>
      <w:r>
        <w:rPr>
          <w:rFonts w:ascii="Arial" w:hAnsi="Arial" w:cs="Arial"/>
          <w:sz w:val="24"/>
          <w:szCs w:val="24"/>
        </w:rPr>
        <w:t>.</w:t>
      </w:r>
    </w:p>
    <w:p w:rsidR="003565AA" w:rsidRDefault="003565AA" w:rsidP="00A81559">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sz w:val="24"/>
          <w:szCs w:val="24"/>
        </w:rPr>
        <w:tab/>
        <w:t xml:space="preserve">Dicha Orden expone en su preámbulo </w:t>
      </w:r>
      <w:r w:rsidRPr="00A81559">
        <w:rPr>
          <w:rFonts w:ascii="Arial" w:hAnsi="Arial" w:cs="Arial"/>
          <w:sz w:val="24"/>
          <w:szCs w:val="24"/>
        </w:rPr>
        <w:t>las razones por las cuales el Director General de la</w:t>
      </w:r>
      <w:r>
        <w:rPr>
          <w:rFonts w:ascii="Arial" w:hAnsi="Arial" w:cs="Arial"/>
          <w:sz w:val="24"/>
          <w:szCs w:val="24"/>
        </w:rPr>
        <w:t xml:space="preserve"> </w:t>
      </w:r>
      <w:r w:rsidRPr="00A81559">
        <w:rPr>
          <w:rFonts w:ascii="Arial" w:hAnsi="Arial" w:cs="Arial"/>
          <w:sz w:val="24"/>
          <w:szCs w:val="24"/>
        </w:rPr>
        <w:t>Guardia Civil dicta esta norma</w:t>
      </w:r>
      <w:r>
        <w:rPr>
          <w:rFonts w:ascii="Arial" w:hAnsi="Arial" w:cs="Arial"/>
          <w:sz w:val="24"/>
          <w:szCs w:val="24"/>
        </w:rPr>
        <w:t xml:space="preserve">, </w:t>
      </w:r>
      <w:r w:rsidRPr="00A81559">
        <w:rPr>
          <w:rFonts w:ascii="Arial" w:hAnsi="Arial" w:cs="Arial"/>
          <w:sz w:val="24"/>
          <w:szCs w:val="24"/>
        </w:rPr>
        <w:t>a propuesta de la Subdirección General de</w:t>
      </w:r>
      <w:r>
        <w:rPr>
          <w:rFonts w:ascii="Arial" w:hAnsi="Arial" w:cs="Arial"/>
          <w:sz w:val="24"/>
          <w:szCs w:val="24"/>
        </w:rPr>
        <w:t xml:space="preserve"> </w:t>
      </w:r>
      <w:r w:rsidRPr="00A81559">
        <w:rPr>
          <w:rFonts w:ascii="Arial" w:hAnsi="Arial" w:cs="Arial"/>
          <w:sz w:val="24"/>
          <w:szCs w:val="24"/>
        </w:rPr>
        <w:t>Personal, y habiendo sido informada por el Consejo de la Guardia Civil</w:t>
      </w:r>
      <w:r>
        <w:rPr>
          <w:rFonts w:ascii="Arial" w:hAnsi="Arial" w:cs="Arial"/>
          <w:sz w:val="24"/>
          <w:szCs w:val="24"/>
        </w:rPr>
        <w:t>.</w:t>
      </w:r>
    </w:p>
    <w:p w:rsidR="003565AA" w:rsidRDefault="003565AA" w:rsidP="003B51F9">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sz w:val="24"/>
          <w:szCs w:val="24"/>
        </w:rPr>
        <w:tab/>
        <w:t>Así, se señala que “</w:t>
      </w:r>
      <w:r w:rsidRPr="003B51F9">
        <w:rPr>
          <w:rFonts w:ascii="Arial" w:hAnsi="Arial" w:cs="Arial"/>
          <w:i/>
          <w:iCs/>
          <w:sz w:val="24"/>
          <w:szCs w:val="24"/>
        </w:rPr>
        <w:t>el sistema de incentivos deriva de lo previsto en el Real Decreto 950/2005, de 29 de julio, de retribuciones de las Fuerzas y Cuerpos de Seguridad del Estado, que define en su artículo 4.C) el complemento de productividad como el destinado a retribuir el especial rendimiento, la actividad y dedicación extraordinarias no previstas a través del complemento específico, y el interés o iniciativa en el desempeño de los puestos de trabajo, siempre que redunden en mejorar el resultado de estos últimos. El complemento de productividad se sujeta a lo que se prevea anualmente en la Ley de Presupuestos Generales del Estado</w:t>
      </w:r>
      <w:r>
        <w:rPr>
          <w:rFonts w:ascii="Arial" w:hAnsi="Arial" w:cs="Arial"/>
          <w:sz w:val="24"/>
          <w:szCs w:val="24"/>
        </w:rPr>
        <w:t>”</w:t>
      </w:r>
    </w:p>
    <w:p w:rsidR="003565AA" w:rsidRDefault="003565AA" w:rsidP="001649D1">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sz w:val="24"/>
          <w:szCs w:val="24"/>
        </w:rPr>
        <w:tab/>
        <w:t xml:space="preserve">Pues bien, no cabe duda que </w:t>
      </w:r>
      <w:r w:rsidR="00CA5E20">
        <w:rPr>
          <w:rFonts w:ascii="Arial" w:hAnsi="Arial" w:cs="Arial"/>
          <w:sz w:val="24"/>
          <w:szCs w:val="24"/>
        </w:rPr>
        <w:t>exista</w:t>
      </w:r>
      <w:r>
        <w:rPr>
          <w:rFonts w:ascii="Arial" w:hAnsi="Arial" w:cs="Arial"/>
          <w:sz w:val="24"/>
          <w:szCs w:val="24"/>
        </w:rPr>
        <w:t xml:space="preserve"> una clara intención por parte de la Dirección General de la Guardia Civil de vincular el complemento de productividad con el complemento de destino. Desprendiéndose, además, que el complemento de productividad se sujetará a lo que se prevea anualmente en la Ley de Presupuestos Generales del Estado</w:t>
      </w:r>
      <w:r w:rsidRPr="003B51F9">
        <w:t xml:space="preserve"> </w:t>
      </w:r>
      <w:r w:rsidRPr="003B51F9">
        <w:rPr>
          <w:rFonts w:ascii="Arial" w:hAnsi="Arial" w:cs="Arial"/>
          <w:sz w:val="24"/>
          <w:szCs w:val="24"/>
        </w:rPr>
        <w:t>y no a la cuantía fijada en el año 2014 de</w:t>
      </w:r>
      <w:r>
        <w:rPr>
          <w:rFonts w:ascii="Arial" w:hAnsi="Arial" w:cs="Arial"/>
          <w:sz w:val="24"/>
          <w:szCs w:val="24"/>
        </w:rPr>
        <w:t xml:space="preserve"> </w:t>
      </w:r>
      <w:r w:rsidRPr="003B51F9">
        <w:rPr>
          <w:rFonts w:ascii="Arial" w:hAnsi="Arial" w:cs="Arial"/>
          <w:sz w:val="24"/>
          <w:szCs w:val="24"/>
        </w:rPr>
        <w:t>forma inamovible para los años sucesivos</w:t>
      </w:r>
      <w:r>
        <w:rPr>
          <w:rFonts w:ascii="Arial" w:hAnsi="Arial" w:cs="Arial"/>
          <w:sz w:val="24"/>
          <w:szCs w:val="24"/>
        </w:rPr>
        <w:t xml:space="preserve">, confusión a la que podría llegarse de la </w:t>
      </w:r>
      <w:r w:rsidRPr="003B51F9">
        <w:rPr>
          <w:rFonts w:ascii="Arial" w:hAnsi="Arial" w:cs="Arial"/>
          <w:sz w:val="24"/>
          <w:szCs w:val="24"/>
        </w:rPr>
        <w:t>referencia explícita de la Orden General</w:t>
      </w:r>
      <w:r>
        <w:rPr>
          <w:rFonts w:ascii="Arial" w:hAnsi="Arial" w:cs="Arial"/>
          <w:sz w:val="24"/>
          <w:szCs w:val="24"/>
        </w:rPr>
        <w:t xml:space="preserve"> </w:t>
      </w:r>
      <w:r w:rsidRPr="003B51F9">
        <w:rPr>
          <w:rFonts w:ascii="Arial" w:hAnsi="Arial" w:cs="Arial"/>
          <w:sz w:val="24"/>
          <w:szCs w:val="24"/>
        </w:rPr>
        <w:t>12/2014 a la Ley de Presupuestos Generales del Estado para el año 2014</w:t>
      </w:r>
      <w:r>
        <w:rPr>
          <w:rFonts w:ascii="Arial" w:hAnsi="Arial" w:cs="Arial"/>
          <w:sz w:val="24"/>
          <w:szCs w:val="24"/>
        </w:rPr>
        <w:t>.</w:t>
      </w:r>
    </w:p>
    <w:p w:rsidR="003565AA" w:rsidRDefault="003565AA" w:rsidP="001649D1">
      <w:pPr>
        <w:tabs>
          <w:tab w:val="left" w:pos="708"/>
          <w:tab w:val="left" w:pos="1416"/>
          <w:tab w:val="left" w:pos="2124"/>
          <w:tab w:val="left" w:pos="2554"/>
        </w:tabs>
        <w:spacing w:before="240" w:line="300" w:lineRule="auto"/>
        <w:jc w:val="both"/>
        <w:rPr>
          <w:rFonts w:ascii="Arial" w:hAnsi="Arial" w:cs="Arial"/>
          <w:b/>
          <w:bCs/>
          <w:sz w:val="24"/>
          <w:szCs w:val="24"/>
        </w:rPr>
      </w:pPr>
    </w:p>
    <w:p w:rsidR="003565AA" w:rsidRDefault="003565AA" w:rsidP="00C573C8">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b/>
          <w:bCs/>
          <w:sz w:val="24"/>
          <w:szCs w:val="24"/>
        </w:rPr>
        <w:tab/>
        <w:t xml:space="preserve">SEGUNDO. – </w:t>
      </w:r>
      <w:r>
        <w:rPr>
          <w:rFonts w:ascii="Arial" w:hAnsi="Arial" w:cs="Arial"/>
          <w:sz w:val="24"/>
          <w:szCs w:val="24"/>
        </w:rPr>
        <w:t xml:space="preserve">En relación con lo anteriormente expuesto, debemos señalar que en los años 2014 y 2015 no se estableció ningún incremento salarial, como así se puede comprobar en el </w:t>
      </w:r>
      <w:r w:rsidRPr="00C573C8">
        <w:rPr>
          <w:rFonts w:ascii="Arial" w:hAnsi="Arial" w:cs="Arial"/>
          <w:sz w:val="24"/>
          <w:szCs w:val="24"/>
        </w:rPr>
        <w:t>art</w:t>
      </w:r>
      <w:r>
        <w:rPr>
          <w:rFonts w:ascii="Arial" w:hAnsi="Arial" w:cs="Arial"/>
          <w:sz w:val="24"/>
          <w:szCs w:val="24"/>
        </w:rPr>
        <w:t>ículo</w:t>
      </w:r>
      <w:r w:rsidRPr="00C573C8">
        <w:rPr>
          <w:rFonts w:ascii="Arial" w:hAnsi="Arial" w:cs="Arial"/>
          <w:sz w:val="24"/>
          <w:szCs w:val="24"/>
        </w:rPr>
        <w:t xml:space="preserve"> 27 de la Ley 22/2013, de 23 de diciembre, de Presupuestos Generales del</w:t>
      </w:r>
      <w:r>
        <w:rPr>
          <w:rFonts w:ascii="Arial" w:hAnsi="Arial" w:cs="Arial"/>
          <w:sz w:val="24"/>
          <w:szCs w:val="24"/>
        </w:rPr>
        <w:t xml:space="preserve"> </w:t>
      </w:r>
      <w:r w:rsidRPr="00C573C8">
        <w:rPr>
          <w:rFonts w:ascii="Arial" w:hAnsi="Arial" w:cs="Arial"/>
          <w:sz w:val="24"/>
          <w:szCs w:val="24"/>
        </w:rPr>
        <w:t>Estado para el año 2014 y</w:t>
      </w:r>
      <w:r>
        <w:rPr>
          <w:rFonts w:ascii="Arial" w:hAnsi="Arial" w:cs="Arial"/>
          <w:sz w:val="24"/>
          <w:szCs w:val="24"/>
        </w:rPr>
        <w:t xml:space="preserve"> en el</w:t>
      </w:r>
      <w:r w:rsidRPr="00C573C8">
        <w:rPr>
          <w:rFonts w:ascii="Arial" w:hAnsi="Arial" w:cs="Arial"/>
          <w:sz w:val="24"/>
          <w:szCs w:val="24"/>
        </w:rPr>
        <w:t xml:space="preserve"> art</w:t>
      </w:r>
      <w:r>
        <w:rPr>
          <w:rFonts w:ascii="Arial" w:hAnsi="Arial" w:cs="Arial"/>
          <w:sz w:val="24"/>
          <w:szCs w:val="24"/>
        </w:rPr>
        <w:t>ículo</w:t>
      </w:r>
      <w:r w:rsidRPr="00C573C8">
        <w:rPr>
          <w:rFonts w:ascii="Arial" w:hAnsi="Arial" w:cs="Arial"/>
          <w:sz w:val="24"/>
          <w:szCs w:val="24"/>
        </w:rPr>
        <w:t xml:space="preserve"> 27 de la Ley 36/2014, de 26 de diciembre, de</w:t>
      </w:r>
      <w:r>
        <w:rPr>
          <w:rFonts w:ascii="Arial" w:hAnsi="Arial" w:cs="Arial"/>
          <w:sz w:val="24"/>
          <w:szCs w:val="24"/>
        </w:rPr>
        <w:t xml:space="preserve"> </w:t>
      </w:r>
      <w:r w:rsidRPr="00C573C8">
        <w:rPr>
          <w:rFonts w:ascii="Arial" w:hAnsi="Arial" w:cs="Arial"/>
          <w:sz w:val="24"/>
          <w:szCs w:val="24"/>
        </w:rPr>
        <w:t>Presupuestos Generales del Estado para el año 2015</w:t>
      </w:r>
      <w:r>
        <w:rPr>
          <w:rFonts w:ascii="Arial" w:hAnsi="Arial" w:cs="Arial"/>
          <w:sz w:val="24"/>
          <w:szCs w:val="24"/>
        </w:rPr>
        <w:t>.</w:t>
      </w:r>
    </w:p>
    <w:p w:rsidR="003565AA" w:rsidRPr="003B51F9" w:rsidRDefault="003565AA" w:rsidP="00C573C8">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sz w:val="24"/>
          <w:szCs w:val="24"/>
        </w:rPr>
        <w:tab/>
        <w:t xml:space="preserve">Sin embargo, no ocurrió lo mismo en el año 2016, pues el artículo </w:t>
      </w:r>
      <w:r w:rsidRPr="00C573C8">
        <w:rPr>
          <w:rFonts w:ascii="Arial" w:hAnsi="Arial" w:cs="Arial"/>
          <w:sz w:val="24"/>
          <w:szCs w:val="24"/>
        </w:rPr>
        <w:t>26 de la Ley 48/2015, de 29 de octubre, de</w:t>
      </w:r>
      <w:r>
        <w:rPr>
          <w:rFonts w:ascii="Arial" w:hAnsi="Arial" w:cs="Arial"/>
          <w:sz w:val="24"/>
          <w:szCs w:val="24"/>
        </w:rPr>
        <w:t xml:space="preserve"> </w:t>
      </w:r>
      <w:r w:rsidRPr="00C573C8">
        <w:rPr>
          <w:rFonts w:ascii="Arial" w:hAnsi="Arial" w:cs="Arial"/>
          <w:sz w:val="24"/>
          <w:szCs w:val="24"/>
        </w:rPr>
        <w:t>Presupuestos Generales del Estado para el año 2016</w:t>
      </w:r>
      <w:r>
        <w:rPr>
          <w:rFonts w:ascii="Arial" w:hAnsi="Arial" w:cs="Arial"/>
          <w:sz w:val="24"/>
          <w:szCs w:val="24"/>
        </w:rPr>
        <w:t xml:space="preserve"> aprobó </w:t>
      </w:r>
      <w:r w:rsidRPr="00C573C8">
        <w:rPr>
          <w:rFonts w:ascii="Arial" w:hAnsi="Arial" w:cs="Arial"/>
          <w:sz w:val="24"/>
          <w:szCs w:val="24"/>
        </w:rPr>
        <w:t>un</w:t>
      </w:r>
      <w:r>
        <w:rPr>
          <w:rFonts w:ascii="Arial" w:hAnsi="Arial" w:cs="Arial"/>
          <w:sz w:val="24"/>
          <w:szCs w:val="24"/>
        </w:rPr>
        <w:t xml:space="preserve"> </w:t>
      </w:r>
      <w:r w:rsidRPr="00C573C8">
        <w:rPr>
          <w:rFonts w:ascii="Arial" w:hAnsi="Arial" w:cs="Arial"/>
          <w:sz w:val="24"/>
          <w:szCs w:val="24"/>
        </w:rPr>
        <w:t>incremento del 1% en las retribuciones complementarias y, por tanto, del</w:t>
      </w:r>
      <w:r>
        <w:rPr>
          <w:rFonts w:ascii="Arial" w:hAnsi="Arial" w:cs="Arial"/>
          <w:sz w:val="24"/>
          <w:szCs w:val="24"/>
        </w:rPr>
        <w:t xml:space="preserve"> </w:t>
      </w:r>
      <w:r w:rsidRPr="00C573C8">
        <w:rPr>
          <w:rFonts w:ascii="Arial" w:hAnsi="Arial" w:cs="Arial"/>
          <w:sz w:val="24"/>
          <w:szCs w:val="24"/>
        </w:rPr>
        <w:t>complemento de destino, respecto a las vigentes al 31 de diciembre de 2015</w:t>
      </w:r>
      <w:r>
        <w:rPr>
          <w:rFonts w:ascii="Arial" w:hAnsi="Arial" w:cs="Arial"/>
          <w:sz w:val="24"/>
          <w:szCs w:val="24"/>
        </w:rPr>
        <w:t xml:space="preserve">, incrementándose también </w:t>
      </w:r>
      <w:r w:rsidRPr="00C573C8">
        <w:rPr>
          <w:rFonts w:ascii="Arial" w:hAnsi="Arial" w:cs="Arial"/>
          <w:sz w:val="24"/>
          <w:szCs w:val="24"/>
        </w:rPr>
        <w:t>los créditos presupuestarios</w:t>
      </w:r>
      <w:r>
        <w:rPr>
          <w:rFonts w:ascii="Arial" w:hAnsi="Arial" w:cs="Arial"/>
          <w:sz w:val="24"/>
          <w:szCs w:val="24"/>
        </w:rPr>
        <w:t xml:space="preserve"> </w:t>
      </w:r>
      <w:r w:rsidRPr="00C573C8">
        <w:rPr>
          <w:rFonts w:ascii="Arial" w:hAnsi="Arial" w:cs="Arial"/>
          <w:sz w:val="24"/>
          <w:szCs w:val="24"/>
        </w:rPr>
        <w:t>correspondientes al complemento de productividad en un 1% respecto al</w:t>
      </w:r>
      <w:r>
        <w:rPr>
          <w:rFonts w:ascii="Arial" w:hAnsi="Arial" w:cs="Arial"/>
          <w:sz w:val="24"/>
          <w:szCs w:val="24"/>
        </w:rPr>
        <w:t xml:space="preserve"> </w:t>
      </w:r>
      <w:r w:rsidRPr="00C573C8">
        <w:rPr>
          <w:rFonts w:ascii="Arial" w:hAnsi="Arial" w:cs="Arial"/>
          <w:sz w:val="24"/>
          <w:szCs w:val="24"/>
        </w:rPr>
        <w:t>asignado a 31 de diciembre 2015, en términos anuales</w:t>
      </w:r>
      <w:r>
        <w:rPr>
          <w:rFonts w:ascii="Arial" w:hAnsi="Arial" w:cs="Arial"/>
          <w:sz w:val="24"/>
          <w:szCs w:val="24"/>
        </w:rPr>
        <w:t>.</w:t>
      </w:r>
    </w:p>
    <w:p w:rsidR="003565AA" w:rsidRPr="00C573C8" w:rsidRDefault="003565AA" w:rsidP="001649D1">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b/>
          <w:bCs/>
          <w:sz w:val="24"/>
          <w:szCs w:val="24"/>
        </w:rPr>
        <w:tab/>
      </w:r>
      <w:r w:rsidRPr="00C573C8">
        <w:rPr>
          <w:rFonts w:ascii="Arial" w:hAnsi="Arial" w:cs="Arial"/>
          <w:sz w:val="24"/>
          <w:szCs w:val="24"/>
        </w:rPr>
        <w:t xml:space="preserve">En este sentido, debemos </w:t>
      </w:r>
      <w:r>
        <w:rPr>
          <w:rFonts w:ascii="Arial" w:hAnsi="Arial" w:cs="Arial"/>
          <w:sz w:val="24"/>
          <w:szCs w:val="24"/>
        </w:rPr>
        <w:t xml:space="preserve">subrayar que dicho incremento se ha venido incluyendo de manera sistemática, tanto en las </w:t>
      </w:r>
      <w:r w:rsidRPr="00C573C8">
        <w:rPr>
          <w:rFonts w:ascii="Arial" w:hAnsi="Arial" w:cs="Arial"/>
          <w:sz w:val="24"/>
          <w:szCs w:val="24"/>
        </w:rPr>
        <w:t>Ley</w:t>
      </w:r>
      <w:r>
        <w:rPr>
          <w:rFonts w:ascii="Arial" w:hAnsi="Arial" w:cs="Arial"/>
          <w:sz w:val="24"/>
          <w:szCs w:val="24"/>
        </w:rPr>
        <w:t>es</w:t>
      </w:r>
      <w:r w:rsidRPr="00C573C8">
        <w:rPr>
          <w:rFonts w:ascii="Arial" w:hAnsi="Arial" w:cs="Arial"/>
          <w:sz w:val="24"/>
          <w:szCs w:val="24"/>
        </w:rPr>
        <w:t xml:space="preserve"> de Presupuestos Generales del Estado aprobada</w:t>
      </w:r>
      <w:r>
        <w:rPr>
          <w:rFonts w:ascii="Arial" w:hAnsi="Arial" w:cs="Arial"/>
          <w:sz w:val="24"/>
          <w:szCs w:val="24"/>
        </w:rPr>
        <w:t>s</w:t>
      </w:r>
      <w:r w:rsidRPr="00C573C8">
        <w:rPr>
          <w:rFonts w:ascii="Arial" w:hAnsi="Arial" w:cs="Arial"/>
          <w:sz w:val="24"/>
          <w:szCs w:val="24"/>
        </w:rPr>
        <w:t xml:space="preserve"> </w:t>
      </w:r>
      <w:r>
        <w:rPr>
          <w:rFonts w:ascii="Arial" w:hAnsi="Arial" w:cs="Arial"/>
          <w:sz w:val="24"/>
          <w:szCs w:val="24"/>
        </w:rPr>
        <w:t>en los</w:t>
      </w:r>
      <w:r w:rsidRPr="00C573C8">
        <w:rPr>
          <w:rFonts w:ascii="Arial" w:hAnsi="Arial" w:cs="Arial"/>
          <w:sz w:val="24"/>
          <w:szCs w:val="24"/>
        </w:rPr>
        <w:t xml:space="preserve"> año</w:t>
      </w:r>
      <w:r>
        <w:rPr>
          <w:rFonts w:ascii="Arial" w:hAnsi="Arial" w:cs="Arial"/>
          <w:sz w:val="24"/>
          <w:szCs w:val="24"/>
        </w:rPr>
        <w:t>s</w:t>
      </w:r>
      <w:r w:rsidRPr="00C573C8">
        <w:rPr>
          <w:rFonts w:ascii="Arial" w:hAnsi="Arial" w:cs="Arial"/>
          <w:sz w:val="24"/>
          <w:szCs w:val="24"/>
        </w:rPr>
        <w:t xml:space="preserve"> 2017 y 2018 </w:t>
      </w:r>
      <w:r>
        <w:rPr>
          <w:rFonts w:ascii="Arial" w:hAnsi="Arial" w:cs="Arial"/>
          <w:sz w:val="24"/>
          <w:szCs w:val="24"/>
        </w:rPr>
        <w:t>como en los</w:t>
      </w:r>
      <w:r w:rsidRPr="00C573C8">
        <w:rPr>
          <w:rFonts w:ascii="Arial" w:hAnsi="Arial" w:cs="Arial"/>
          <w:sz w:val="24"/>
          <w:szCs w:val="24"/>
        </w:rPr>
        <w:t xml:space="preserve"> Real</w:t>
      </w:r>
      <w:r>
        <w:rPr>
          <w:rFonts w:ascii="Arial" w:hAnsi="Arial" w:cs="Arial"/>
          <w:sz w:val="24"/>
          <w:szCs w:val="24"/>
        </w:rPr>
        <w:t>es</w:t>
      </w:r>
      <w:r w:rsidRPr="00C573C8">
        <w:rPr>
          <w:rFonts w:ascii="Arial" w:hAnsi="Arial" w:cs="Arial"/>
          <w:sz w:val="24"/>
          <w:szCs w:val="24"/>
        </w:rPr>
        <w:t xml:space="preserve"> Decreto</w:t>
      </w:r>
      <w:r>
        <w:rPr>
          <w:rFonts w:ascii="Arial" w:hAnsi="Arial" w:cs="Arial"/>
          <w:sz w:val="24"/>
          <w:szCs w:val="24"/>
        </w:rPr>
        <w:t>s</w:t>
      </w:r>
      <w:r w:rsidRPr="00C573C8">
        <w:rPr>
          <w:rFonts w:ascii="Arial" w:hAnsi="Arial" w:cs="Arial"/>
          <w:sz w:val="24"/>
          <w:szCs w:val="24"/>
        </w:rPr>
        <w:t xml:space="preserve"> Ley </w:t>
      </w:r>
      <w:r>
        <w:rPr>
          <w:rFonts w:ascii="Arial" w:hAnsi="Arial" w:cs="Arial"/>
          <w:sz w:val="24"/>
          <w:szCs w:val="24"/>
        </w:rPr>
        <w:t>de los años</w:t>
      </w:r>
      <w:r w:rsidRPr="00C573C8">
        <w:rPr>
          <w:rFonts w:ascii="Arial" w:hAnsi="Arial" w:cs="Arial"/>
          <w:sz w:val="24"/>
          <w:szCs w:val="24"/>
        </w:rPr>
        <w:t xml:space="preserve"> 2019 y 2020 de medidas urgentes en materia de retribuciones en el ámbito del sector público</w:t>
      </w:r>
      <w:r>
        <w:rPr>
          <w:rFonts w:ascii="Arial" w:hAnsi="Arial" w:cs="Arial"/>
          <w:sz w:val="24"/>
          <w:szCs w:val="24"/>
        </w:rPr>
        <w:t>.</w:t>
      </w:r>
    </w:p>
    <w:p w:rsidR="003565AA" w:rsidRPr="00775214" w:rsidRDefault="003565AA" w:rsidP="001649D1">
      <w:pPr>
        <w:tabs>
          <w:tab w:val="left" w:pos="708"/>
          <w:tab w:val="left" w:pos="1416"/>
          <w:tab w:val="left" w:pos="2124"/>
          <w:tab w:val="left" w:pos="2554"/>
        </w:tabs>
        <w:spacing w:before="240" w:line="300" w:lineRule="auto"/>
        <w:jc w:val="both"/>
        <w:rPr>
          <w:rFonts w:ascii="Arial" w:hAnsi="Arial" w:cs="Arial"/>
          <w:sz w:val="24"/>
          <w:szCs w:val="24"/>
        </w:rPr>
      </w:pPr>
    </w:p>
    <w:p w:rsidR="003565AA" w:rsidRDefault="003565AA" w:rsidP="001649D1">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b/>
          <w:bCs/>
          <w:sz w:val="24"/>
          <w:szCs w:val="24"/>
        </w:rPr>
        <w:tab/>
        <w:t xml:space="preserve">TERCERO. - </w:t>
      </w:r>
      <w:r w:rsidRPr="001649D1">
        <w:rPr>
          <w:rFonts w:ascii="Arial" w:hAnsi="Arial" w:cs="Arial"/>
          <w:sz w:val="24"/>
          <w:szCs w:val="24"/>
        </w:rPr>
        <w:t>Por consiguiente,</w:t>
      </w:r>
      <w:r>
        <w:rPr>
          <w:rFonts w:ascii="Arial" w:hAnsi="Arial" w:cs="Arial"/>
          <w:sz w:val="24"/>
          <w:szCs w:val="24"/>
        </w:rPr>
        <w:t xml:space="preserve"> como consecuencia</w:t>
      </w:r>
      <w:r w:rsidRPr="001649D1">
        <w:rPr>
          <w:rFonts w:ascii="Arial" w:hAnsi="Arial" w:cs="Arial"/>
          <w:sz w:val="24"/>
          <w:szCs w:val="24"/>
        </w:rPr>
        <w:t xml:space="preserve"> </w:t>
      </w:r>
      <w:r>
        <w:rPr>
          <w:rFonts w:ascii="Arial" w:hAnsi="Arial" w:cs="Arial"/>
          <w:sz w:val="24"/>
          <w:szCs w:val="24"/>
        </w:rPr>
        <w:t>d</w:t>
      </w:r>
      <w:r w:rsidRPr="001649D1">
        <w:rPr>
          <w:rFonts w:ascii="Arial" w:hAnsi="Arial" w:cs="Arial"/>
          <w:sz w:val="24"/>
          <w:szCs w:val="24"/>
        </w:rPr>
        <w:t xml:space="preserve">el </w:t>
      </w:r>
      <w:r>
        <w:rPr>
          <w:rFonts w:ascii="Arial" w:hAnsi="Arial" w:cs="Arial"/>
          <w:sz w:val="24"/>
          <w:szCs w:val="24"/>
        </w:rPr>
        <w:t xml:space="preserve">mencionado </w:t>
      </w:r>
      <w:r w:rsidRPr="001649D1">
        <w:rPr>
          <w:rFonts w:ascii="Arial" w:hAnsi="Arial" w:cs="Arial"/>
          <w:sz w:val="24"/>
          <w:szCs w:val="24"/>
        </w:rPr>
        <w:t>aumento del complemento de destino que han ido introduciendo las Leyes de Presupuestos Generales del Estado aprobadas desde el año 2017 y 2018 y dos Real Decreto Ley en 2019 y 2020 de medidas urgentes en materia de retribuciones en el ámbito del sector público, el complemento de productividad se debería haber actualizado en la cuantía correspondiente a la modalidad percibida por e</w:t>
      </w:r>
      <w:r>
        <w:rPr>
          <w:rFonts w:ascii="Arial" w:hAnsi="Arial" w:cs="Arial"/>
          <w:sz w:val="24"/>
          <w:szCs w:val="24"/>
        </w:rPr>
        <w:t>ste</w:t>
      </w:r>
      <w:r w:rsidRPr="006F4253">
        <w:rPr>
          <w:rFonts w:ascii="Arial" w:hAnsi="Arial" w:cs="Arial"/>
          <w:color w:val="FF0000"/>
          <w:sz w:val="24"/>
          <w:szCs w:val="24"/>
        </w:rPr>
        <w:t xml:space="preserve"> </w:t>
      </w:r>
      <w:r>
        <w:rPr>
          <w:rFonts w:ascii="Arial" w:hAnsi="Arial" w:cs="Arial"/>
          <w:color w:val="FF0000"/>
          <w:sz w:val="24"/>
          <w:szCs w:val="24"/>
        </w:rPr>
        <w:t>GUARDIA CIVIL</w:t>
      </w:r>
      <w:r w:rsidRPr="001649D1">
        <w:rPr>
          <w:rFonts w:ascii="Arial" w:hAnsi="Arial" w:cs="Arial"/>
          <w:sz w:val="24"/>
          <w:szCs w:val="24"/>
        </w:rPr>
        <w:t xml:space="preserve">, siendo </w:t>
      </w:r>
      <w:r>
        <w:rPr>
          <w:rFonts w:ascii="Arial" w:hAnsi="Arial" w:cs="Arial"/>
          <w:sz w:val="24"/>
          <w:szCs w:val="24"/>
        </w:rPr>
        <w:t xml:space="preserve">la modalidad </w:t>
      </w:r>
      <w:r>
        <w:rPr>
          <w:rFonts w:ascii="Arial" w:hAnsi="Arial" w:cs="Arial"/>
          <w:color w:val="FF0000"/>
          <w:sz w:val="24"/>
          <w:szCs w:val="24"/>
        </w:rPr>
        <w:t>ERG2/ERG1</w:t>
      </w:r>
    </w:p>
    <w:p w:rsidR="003565AA" w:rsidRPr="001649D1" w:rsidRDefault="003565AA" w:rsidP="001649D1">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sz w:val="24"/>
          <w:szCs w:val="24"/>
        </w:rPr>
        <w:tab/>
        <w:t xml:space="preserve">A pesar de ello, no se ha venido abonando por la Administración este incremento desde el 2017 hasta la fecha. Por el contrario, se han </w:t>
      </w:r>
      <w:r w:rsidRPr="00792424">
        <w:rPr>
          <w:rFonts w:ascii="Arial" w:hAnsi="Arial" w:cs="Arial"/>
          <w:sz w:val="24"/>
          <w:szCs w:val="24"/>
        </w:rPr>
        <w:t>calculado las cuantías de productividad estructural abonadas por la Dirección General de la Guardia Civil en base al Complemento de Destino del año 2014</w:t>
      </w:r>
      <w:r>
        <w:rPr>
          <w:rFonts w:ascii="Arial" w:hAnsi="Arial" w:cs="Arial"/>
          <w:sz w:val="24"/>
          <w:szCs w:val="24"/>
        </w:rPr>
        <w:t>.</w:t>
      </w:r>
    </w:p>
    <w:p w:rsidR="003565AA" w:rsidRPr="00C63491" w:rsidRDefault="003565AA" w:rsidP="00792424">
      <w:pPr>
        <w:tabs>
          <w:tab w:val="left" w:pos="708"/>
          <w:tab w:val="left" w:pos="1416"/>
          <w:tab w:val="left" w:pos="2124"/>
          <w:tab w:val="left" w:pos="2554"/>
        </w:tabs>
        <w:spacing w:before="240" w:line="300" w:lineRule="auto"/>
        <w:jc w:val="both"/>
        <w:rPr>
          <w:rFonts w:ascii="Arial" w:hAnsi="Arial" w:cs="Arial"/>
          <w:i/>
          <w:iCs/>
          <w:sz w:val="24"/>
          <w:szCs w:val="24"/>
        </w:rPr>
      </w:pPr>
      <w:r>
        <w:rPr>
          <w:rFonts w:ascii="Arial" w:hAnsi="Arial" w:cs="Arial"/>
          <w:sz w:val="24"/>
          <w:szCs w:val="24"/>
        </w:rPr>
        <w:tab/>
      </w:r>
      <w:r w:rsidRPr="00792424">
        <w:rPr>
          <w:rFonts w:ascii="Arial" w:hAnsi="Arial" w:cs="Arial"/>
          <w:sz w:val="24"/>
          <w:szCs w:val="24"/>
        </w:rPr>
        <w:t>Del relato de los hechos</w:t>
      </w:r>
      <w:r w:rsidRPr="00792424">
        <w:t xml:space="preserve"> </w:t>
      </w:r>
      <w:r w:rsidRPr="00792424">
        <w:rPr>
          <w:rFonts w:ascii="Arial" w:hAnsi="Arial" w:cs="Arial"/>
          <w:sz w:val="24"/>
          <w:szCs w:val="24"/>
        </w:rPr>
        <w:t>se aprecia que la administración está haciendo caso omiso a lo dispuesto por la normativa por esta parte expuesta</w:t>
      </w:r>
      <w:r>
        <w:rPr>
          <w:rFonts w:ascii="Arial" w:hAnsi="Arial" w:cs="Arial"/>
          <w:sz w:val="24"/>
          <w:szCs w:val="24"/>
        </w:rPr>
        <w:t xml:space="preserve">, negándose a abonar las cuantías que realmente corresponden como consecuencia de los incrementos establecidos. </w:t>
      </w:r>
    </w:p>
    <w:p w:rsidR="003565AA" w:rsidRDefault="003565AA" w:rsidP="00953EC6">
      <w:pPr>
        <w:tabs>
          <w:tab w:val="left" w:pos="708"/>
          <w:tab w:val="left" w:pos="1416"/>
          <w:tab w:val="left" w:pos="2124"/>
          <w:tab w:val="left" w:pos="2554"/>
        </w:tabs>
        <w:spacing w:before="240" w:line="300" w:lineRule="auto"/>
        <w:jc w:val="both"/>
        <w:rPr>
          <w:rFonts w:ascii="Arial" w:hAnsi="Arial" w:cs="Arial"/>
          <w:sz w:val="24"/>
          <w:szCs w:val="24"/>
        </w:rPr>
      </w:pPr>
    </w:p>
    <w:p w:rsidR="003565AA" w:rsidRDefault="003565AA" w:rsidP="00953EC6">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b/>
          <w:bCs/>
          <w:sz w:val="24"/>
          <w:szCs w:val="24"/>
        </w:rPr>
        <w:tab/>
        <w:t>CUARTO. –</w:t>
      </w:r>
      <w:r w:rsidRPr="001649D1">
        <w:t xml:space="preserve"> </w:t>
      </w:r>
      <w:r>
        <w:rPr>
          <w:rFonts w:ascii="Arial" w:hAnsi="Arial" w:cs="Arial"/>
          <w:sz w:val="24"/>
          <w:szCs w:val="24"/>
        </w:rPr>
        <w:t>En este sentido debemos hacer mención a la reciente Sentencia del Tribunal Supremo</w:t>
      </w:r>
      <w:r w:rsidRPr="0027485C">
        <w:rPr>
          <w:rFonts w:ascii="Arial" w:hAnsi="Arial" w:cs="Arial"/>
          <w:sz w:val="24"/>
          <w:szCs w:val="24"/>
        </w:rPr>
        <w:t xml:space="preserve"> </w:t>
      </w:r>
      <w:r w:rsidRPr="001649D1">
        <w:rPr>
          <w:rFonts w:ascii="Arial" w:hAnsi="Arial" w:cs="Arial"/>
          <w:sz w:val="24"/>
          <w:szCs w:val="24"/>
        </w:rPr>
        <w:t>nº 573/2019 (Recurso Casación 2917/2019)</w:t>
      </w:r>
      <w:r>
        <w:rPr>
          <w:rFonts w:ascii="Arial" w:hAnsi="Arial" w:cs="Arial"/>
          <w:sz w:val="24"/>
          <w:szCs w:val="24"/>
        </w:rPr>
        <w:t>,</w:t>
      </w:r>
      <w:r w:rsidRPr="001649D1">
        <w:rPr>
          <w:rFonts w:ascii="Arial" w:hAnsi="Arial" w:cs="Arial"/>
          <w:sz w:val="24"/>
          <w:szCs w:val="24"/>
        </w:rPr>
        <w:t xml:space="preserve"> </w:t>
      </w:r>
      <w:r>
        <w:rPr>
          <w:rFonts w:ascii="Arial" w:hAnsi="Arial" w:cs="Arial"/>
          <w:sz w:val="24"/>
          <w:szCs w:val="24"/>
        </w:rPr>
        <w:t>de</w:t>
      </w:r>
      <w:r w:rsidRPr="001649D1">
        <w:rPr>
          <w:rFonts w:ascii="Arial" w:hAnsi="Arial" w:cs="Arial"/>
          <w:sz w:val="24"/>
          <w:szCs w:val="24"/>
        </w:rPr>
        <w:t xml:space="preserve"> fecha 28 de abril de 2021</w:t>
      </w:r>
      <w:r>
        <w:rPr>
          <w:rFonts w:ascii="Arial" w:hAnsi="Arial" w:cs="Arial"/>
          <w:sz w:val="24"/>
          <w:szCs w:val="24"/>
        </w:rPr>
        <w:t xml:space="preserve">, </w:t>
      </w:r>
      <w:r w:rsidRPr="001649D1">
        <w:rPr>
          <w:rFonts w:ascii="Arial" w:hAnsi="Arial" w:cs="Arial"/>
          <w:sz w:val="24"/>
          <w:szCs w:val="24"/>
        </w:rPr>
        <w:t>Sala de lo Contencioso Administrativo, Sección Cuarta,</w:t>
      </w:r>
      <w:r>
        <w:rPr>
          <w:rFonts w:ascii="Arial" w:hAnsi="Arial" w:cs="Arial"/>
          <w:sz w:val="24"/>
          <w:szCs w:val="24"/>
        </w:rPr>
        <w:t xml:space="preserve"> la cual,</w:t>
      </w:r>
      <w:r w:rsidRPr="001649D1">
        <w:rPr>
          <w:rFonts w:ascii="Arial" w:hAnsi="Arial" w:cs="Arial"/>
          <w:sz w:val="24"/>
          <w:szCs w:val="24"/>
        </w:rPr>
        <w:t xml:space="preserve"> en relación a la actualización que debe sufrir el complemento de productividad, en particular en su modalidad estructur</w:t>
      </w:r>
      <w:r>
        <w:rPr>
          <w:rFonts w:ascii="Arial" w:hAnsi="Arial" w:cs="Arial"/>
          <w:sz w:val="24"/>
          <w:szCs w:val="24"/>
        </w:rPr>
        <w:t xml:space="preserve">al, ha fijado la doctrina jurisprudencial a continuación expuesta: </w:t>
      </w:r>
    </w:p>
    <w:p w:rsidR="003565AA" w:rsidRDefault="003565AA" w:rsidP="001649D1">
      <w:pPr>
        <w:tabs>
          <w:tab w:val="left" w:pos="708"/>
          <w:tab w:val="left" w:pos="1416"/>
          <w:tab w:val="left" w:pos="2124"/>
          <w:tab w:val="left" w:pos="2554"/>
        </w:tabs>
        <w:spacing w:before="240" w:line="300" w:lineRule="auto"/>
        <w:ind w:left="708"/>
        <w:jc w:val="both"/>
        <w:rPr>
          <w:rFonts w:ascii="Arial" w:hAnsi="Arial" w:cs="Arial"/>
          <w:i/>
          <w:iCs/>
          <w:sz w:val="24"/>
          <w:szCs w:val="24"/>
        </w:rPr>
      </w:pPr>
      <w:r w:rsidRPr="001649D1">
        <w:rPr>
          <w:rFonts w:ascii="Arial" w:hAnsi="Arial" w:cs="Arial"/>
          <w:i/>
          <w:iCs/>
          <w:sz w:val="24"/>
          <w:szCs w:val="24"/>
        </w:rPr>
        <w:t>“La interpretación que establecemos como doctrina jurisprudencial es que el complemento de productividad estructural de puestos de la Guardia Civil, correspondiente al año 2016, debe ser fijado atendido el incremento del complemento de destino aprobado en la Ley 48/2015, de 29 de octubre, de Presupuestos Generales del Estado para el año 2016</w:t>
      </w:r>
      <w:r>
        <w:rPr>
          <w:rFonts w:ascii="Arial" w:hAnsi="Arial" w:cs="Arial"/>
          <w:i/>
          <w:iCs/>
          <w:sz w:val="24"/>
          <w:szCs w:val="24"/>
        </w:rPr>
        <w:t>”</w:t>
      </w:r>
      <w:r w:rsidRPr="001649D1">
        <w:rPr>
          <w:rFonts w:ascii="Arial" w:hAnsi="Arial" w:cs="Arial"/>
          <w:i/>
          <w:iCs/>
          <w:sz w:val="24"/>
          <w:szCs w:val="24"/>
        </w:rPr>
        <w:t>.</w:t>
      </w:r>
    </w:p>
    <w:p w:rsidR="003565AA" w:rsidRPr="00C63491" w:rsidRDefault="003565AA" w:rsidP="00CA5E20">
      <w:pPr>
        <w:tabs>
          <w:tab w:val="left" w:pos="708"/>
          <w:tab w:val="left" w:pos="1416"/>
          <w:tab w:val="left" w:pos="2124"/>
          <w:tab w:val="left" w:pos="2554"/>
        </w:tabs>
        <w:spacing w:before="240" w:line="300" w:lineRule="auto"/>
        <w:ind w:left="708"/>
        <w:jc w:val="both"/>
        <w:rPr>
          <w:rFonts w:ascii="Arial" w:hAnsi="Arial" w:cs="Arial"/>
          <w:sz w:val="24"/>
          <w:szCs w:val="24"/>
        </w:rPr>
      </w:pPr>
      <w:r>
        <w:rPr>
          <w:rFonts w:ascii="Arial" w:hAnsi="Arial" w:cs="Arial"/>
          <w:sz w:val="24"/>
          <w:szCs w:val="24"/>
        </w:rPr>
        <w:t>Así, en base la doctrina fijada, resuelve el Tribunal el recurso planteado en el siguiente sentido:</w:t>
      </w:r>
    </w:p>
    <w:p w:rsidR="003565AA" w:rsidRDefault="003565AA" w:rsidP="001649D1">
      <w:pPr>
        <w:tabs>
          <w:tab w:val="left" w:pos="708"/>
          <w:tab w:val="left" w:pos="1416"/>
          <w:tab w:val="left" w:pos="2124"/>
          <w:tab w:val="left" w:pos="2554"/>
        </w:tabs>
        <w:spacing w:before="240" w:line="300" w:lineRule="auto"/>
        <w:ind w:left="708"/>
        <w:jc w:val="both"/>
        <w:rPr>
          <w:rFonts w:ascii="Arial" w:hAnsi="Arial" w:cs="Arial"/>
          <w:i/>
          <w:iCs/>
          <w:sz w:val="24"/>
          <w:szCs w:val="24"/>
        </w:rPr>
      </w:pPr>
      <w:r w:rsidRPr="001649D1">
        <w:rPr>
          <w:rFonts w:ascii="Arial" w:hAnsi="Arial" w:cs="Arial"/>
          <w:i/>
          <w:iCs/>
          <w:sz w:val="24"/>
          <w:szCs w:val="24"/>
        </w:rPr>
        <w:t>En consecuencia, debe ser estimado el recurso de casación y estimada la pretensión de la parte actora, en aplicación de la doctrina establecida, declarando que la Administración debe actualizar el complemento de productividad estructural según la regla de cálculo establecida en el art. 8.6 de la Orden General 12/2014, de 23 de diciembre, esto es, aplicando el porcentaje establecido para la determinación del complemento de productividad estructural sobre la base del complemento de destino del perceptor, fijado con arreglo a lo dispuesto en la Ley 48/2015, de 29 de octubre, de Presupuestos Generales del Estado para 2016”.</w:t>
      </w:r>
    </w:p>
    <w:p w:rsidR="003565AA" w:rsidRPr="006C42C9" w:rsidRDefault="003565AA" w:rsidP="001649D1">
      <w:pPr>
        <w:tabs>
          <w:tab w:val="left" w:pos="708"/>
          <w:tab w:val="left" w:pos="1416"/>
          <w:tab w:val="left" w:pos="2124"/>
          <w:tab w:val="left" w:pos="2554"/>
        </w:tabs>
        <w:spacing w:before="240" w:line="300" w:lineRule="auto"/>
        <w:ind w:left="708"/>
        <w:jc w:val="both"/>
        <w:rPr>
          <w:rFonts w:ascii="Arial" w:hAnsi="Arial" w:cs="Arial"/>
          <w:sz w:val="24"/>
          <w:szCs w:val="24"/>
        </w:rPr>
      </w:pPr>
    </w:p>
    <w:p w:rsidR="003565AA" w:rsidRPr="00FD6408" w:rsidRDefault="003565AA" w:rsidP="00953EC6">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sz w:val="24"/>
          <w:szCs w:val="24"/>
        </w:rPr>
        <w:tab/>
      </w:r>
      <w:r>
        <w:rPr>
          <w:rFonts w:ascii="Arial" w:hAnsi="Arial" w:cs="Arial"/>
          <w:b/>
          <w:bCs/>
          <w:sz w:val="24"/>
          <w:szCs w:val="24"/>
        </w:rPr>
        <w:t xml:space="preserve">QUINTO. – </w:t>
      </w:r>
      <w:r w:rsidRPr="00FD6408">
        <w:rPr>
          <w:rFonts w:ascii="Arial" w:hAnsi="Arial" w:cs="Arial"/>
          <w:sz w:val="24"/>
          <w:szCs w:val="24"/>
        </w:rPr>
        <w:t xml:space="preserve">Para proceder al cálculo de las cantidades dejadas de percibir por </w:t>
      </w:r>
      <w:r w:rsidR="00FD79A7" w:rsidRPr="00FD79A7">
        <w:rPr>
          <w:rFonts w:ascii="Arial" w:hAnsi="Arial" w:cs="Arial"/>
          <w:color w:val="FF0000"/>
          <w:sz w:val="24"/>
          <w:szCs w:val="24"/>
        </w:rPr>
        <w:t xml:space="preserve">ESTE/ESTA </w:t>
      </w:r>
      <w:r w:rsidR="00FD79A7">
        <w:rPr>
          <w:rFonts w:ascii="Arial" w:hAnsi="Arial" w:cs="Arial"/>
          <w:color w:val="FF0000"/>
          <w:sz w:val="24"/>
          <w:szCs w:val="24"/>
        </w:rPr>
        <w:t>GUARDIA CIVIL</w:t>
      </w:r>
      <w:r>
        <w:rPr>
          <w:rFonts w:ascii="Arial" w:hAnsi="Arial" w:cs="Arial"/>
          <w:sz w:val="24"/>
          <w:szCs w:val="24"/>
        </w:rPr>
        <w:t>, a continuación exponemos el incremento exacto recogido por la normativa para el complemento de destino en los sucesivos años hasta la fecha.</w:t>
      </w:r>
    </w:p>
    <w:p w:rsidR="003565AA" w:rsidRPr="00453020" w:rsidRDefault="003565AA" w:rsidP="00953EC6">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b/>
          <w:bCs/>
          <w:sz w:val="24"/>
          <w:szCs w:val="24"/>
        </w:rPr>
        <w:tab/>
      </w:r>
      <w:r w:rsidRPr="00453020">
        <w:rPr>
          <w:rFonts w:ascii="Arial" w:hAnsi="Arial" w:cs="Arial"/>
          <w:sz w:val="24"/>
          <w:szCs w:val="24"/>
        </w:rPr>
        <w:t xml:space="preserve">Por su parte, la Ley 6/2018, de 3 de julio, de Presupuestos Generales del Estado para el año 2018, para el mismo nivel de complemento de destino, estableció la cuantía anual de </w:t>
      </w:r>
      <w:r>
        <w:rPr>
          <w:rFonts w:ascii="Arial" w:hAnsi="Arial" w:cs="Arial"/>
          <w:i/>
          <w:color w:val="FF0000"/>
          <w:sz w:val="24"/>
          <w:szCs w:val="24"/>
        </w:rPr>
        <w:t>CUATRO MIL SEISCIENTOS VEINTISEIS CON TREINTA Y SEIS</w:t>
      </w:r>
      <w:r w:rsidRPr="00404E84">
        <w:rPr>
          <w:rFonts w:ascii="Arial" w:hAnsi="Arial" w:cs="Arial"/>
          <w:color w:val="FF0000"/>
          <w:sz w:val="24"/>
          <w:szCs w:val="24"/>
        </w:rPr>
        <w:t xml:space="preserve"> </w:t>
      </w:r>
      <w:r w:rsidRPr="009070BC">
        <w:rPr>
          <w:rFonts w:ascii="Arial" w:hAnsi="Arial" w:cs="Arial"/>
          <w:sz w:val="24"/>
          <w:szCs w:val="24"/>
        </w:rPr>
        <w:t>EUROS (</w:t>
      </w:r>
      <w:r>
        <w:rPr>
          <w:rFonts w:ascii="Arial" w:hAnsi="Arial" w:cs="Arial"/>
          <w:color w:val="FF0000"/>
          <w:sz w:val="24"/>
          <w:szCs w:val="24"/>
        </w:rPr>
        <w:t xml:space="preserve">4.626,36 </w:t>
      </w:r>
      <w:r w:rsidRPr="009070BC">
        <w:rPr>
          <w:rFonts w:ascii="Arial" w:hAnsi="Arial" w:cs="Arial"/>
          <w:sz w:val="24"/>
          <w:szCs w:val="24"/>
        </w:rPr>
        <w:t>€).</w:t>
      </w:r>
    </w:p>
    <w:p w:rsidR="003565AA" w:rsidRDefault="003565AA" w:rsidP="00953EC6">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sz w:val="24"/>
          <w:szCs w:val="24"/>
        </w:rPr>
        <w:tab/>
      </w:r>
      <w:r w:rsidRPr="00453020">
        <w:rPr>
          <w:rFonts w:ascii="Arial" w:hAnsi="Arial" w:cs="Arial"/>
          <w:sz w:val="24"/>
          <w:szCs w:val="24"/>
        </w:rPr>
        <w:t>Para el año 2019 el Real Decreto-ley 24/2018, de 21 de diciembre, por el que se aprueban medidas urgentes en materia de retribuciones en el ámbito del sector público</w:t>
      </w:r>
      <w:r w:rsidRPr="00453020">
        <w:t xml:space="preserve"> (</w:t>
      </w:r>
      <w:r w:rsidRPr="00453020">
        <w:rPr>
          <w:rFonts w:ascii="Arial" w:hAnsi="Arial" w:cs="Arial"/>
          <w:sz w:val="24"/>
          <w:szCs w:val="24"/>
        </w:rPr>
        <w:t xml:space="preserve">BOE 27 de diciembre de 2018), para el mismo nivel de complemento de destino, estableció la cuantía anual de </w:t>
      </w:r>
      <w:r>
        <w:rPr>
          <w:rFonts w:ascii="Arial" w:hAnsi="Arial" w:cs="Arial"/>
          <w:i/>
          <w:color w:val="FF0000"/>
          <w:sz w:val="24"/>
          <w:szCs w:val="24"/>
        </w:rPr>
        <w:t xml:space="preserve">CUATRO MIL SETECIENTOS CUARENTA Y DOS CON DIECISEIS </w:t>
      </w:r>
      <w:r w:rsidRPr="00404E84">
        <w:rPr>
          <w:rFonts w:ascii="Arial" w:hAnsi="Arial" w:cs="Arial"/>
          <w:color w:val="FF0000"/>
          <w:sz w:val="24"/>
          <w:szCs w:val="24"/>
        </w:rPr>
        <w:t xml:space="preserve"> </w:t>
      </w:r>
      <w:r w:rsidRPr="009070BC">
        <w:rPr>
          <w:rFonts w:ascii="Arial" w:hAnsi="Arial" w:cs="Arial"/>
          <w:sz w:val="24"/>
          <w:szCs w:val="24"/>
        </w:rPr>
        <w:t>EUROS (</w:t>
      </w:r>
      <w:r>
        <w:rPr>
          <w:rFonts w:ascii="Arial" w:hAnsi="Arial" w:cs="Arial"/>
          <w:color w:val="FF0000"/>
          <w:sz w:val="24"/>
          <w:szCs w:val="24"/>
        </w:rPr>
        <w:t>4.742,16</w:t>
      </w:r>
      <w:r w:rsidRPr="009070BC">
        <w:rPr>
          <w:rFonts w:ascii="Arial" w:hAnsi="Arial" w:cs="Arial"/>
          <w:sz w:val="24"/>
          <w:szCs w:val="24"/>
        </w:rPr>
        <w:t>€).</w:t>
      </w:r>
    </w:p>
    <w:p w:rsidR="003565AA" w:rsidRDefault="003565AA" w:rsidP="00953EC6">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sz w:val="24"/>
          <w:szCs w:val="24"/>
        </w:rPr>
        <w:tab/>
      </w:r>
      <w:r w:rsidRPr="00453020">
        <w:rPr>
          <w:rFonts w:ascii="Arial" w:hAnsi="Arial" w:cs="Arial"/>
          <w:sz w:val="24"/>
          <w:szCs w:val="24"/>
        </w:rPr>
        <w:t xml:space="preserve">Para el año 2020 el Real Decreto-ley 2/2020, de 21 de enero de 2020, por el que se aprueban medidas urgentes en materia de retribuciones en el ámbito del sector público, para el mismo nivel de complemento de destino, estableció la cuantía anual de </w:t>
      </w:r>
      <w:r>
        <w:rPr>
          <w:rFonts w:ascii="Arial" w:hAnsi="Arial" w:cs="Arial"/>
          <w:i/>
          <w:color w:val="FF0000"/>
          <w:sz w:val="24"/>
          <w:szCs w:val="24"/>
        </w:rPr>
        <w:t>CUATRO MIL OCHOCIENTOS CUARENTA Y OCHO CON NOVENTA Y SEIS</w:t>
      </w:r>
      <w:r w:rsidRPr="00404E84">
        <w:rPr>
          <w:rFonts w:ascii="Arial" w:hAnsi="Arial" w:cs="Arial"/>
          <w:color w:val="FF0000"/>
          <w:sz w:val="24"/>
          <w:szCs w:val="24"/>
        </w:rPr>
        <w:t xml:space="preserve"> </w:t>
      </w:r>
      <w:r w:rsidRPr="009070BC">
        <w:rPr>
          <w:rFonts w:ascii="Arial" w:hAnsi="Arial" w:cs="Arial"/>
          <w:sz w:val="24"/>
          <w:szCs w:val="24"/>
        </w:rPr>
        <w:t>EUROS (</w:t>
      </w:r>
      <w:r>
        <w:rPr>
          <w:rFonts w:ascii="Arial" w:hAnsi="Arial" w:cs="Arial"/>
          <w:color w:val="FF0000"/>
          <w:sz w:val="24"/>
          <w:szCs w:val="24"/>
        </w:rPr>
        <w:t>4.848,96</w:t>
      </w:r>
      <w:r w:rsidRPr="009070BC">
        <w:rPr>
          <w:rFonts w:ascii="Arial" w:hAnsi="Arial" w:cs="Arial"/>
          <w:sz w:val="24"/>
          <w:szCs w:val="24"/>
        </w:rPr>
        <w:t>€).</w:t>
      </w:r>
    </w:p>
    <w:p w:rsidR="003565AA" w:rsidRDefault="003565AA" w:rsidP="007B0A88">
      <w:pPr>
        <w:tabs>
          <w:tab w:val="left" w:pos="708"/>
          <w:tab w:val="left" w:pos="1416"/>
          <w:tab w:val="left" w:pos="2124"/>
          <w:tab w:val="left" w:pos="2554"/>
        </w:tabs>
        <w:spacing w:before="240" w:line="300" w:lineRule="auto"/>
        <w:jc w:val="both"/>
        <w:rPr>
          <w:rFonts w:ascii="Arial" w:hAnsi="Arial" w:cs="Arial"/>
          <w:b/>
          <w:bCs/>
          <w:sz w:val="24"/>
          <w:szCs w:val="24"/>
        </w:rPr>
      </w:pPr>
    </w:p>
    <w:p w:rsidR="003565AA" w:rsidRDefault="003565AA" w:rsidP="00953EC6">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b/>
          <w:bCs/>
          <w:sz w:val="24"/>
          <w:szCs w:val="24"/>
        </w:rPr>
        <w:tab/>
        <w:t xml:space="preserve">SEXTO. – </w:t>
      </w:r>
      <w:r>
        <w:rPr>
          <w:rFonts w:ascii="Arial" w:hAnsi="Arial" w:cs="Arial"/>
          <w:sz w:val="24"/>
          <w:szCs w:val="24"/>
        </w:rPr>
        <w:t>Esta parte ha percibido el complemento de productividad en su modalidad estructural durante los años 2017, 2018, 2019, 2020 y 2021</w:t>
      </w:r>
      <w:r w:rsidRPr="00E13953">
        <w:t xml:space="preserve"> </w:t>
      </w:r>
      <w:r w:rsidRPr="00E13953">
        <w:rPr>
          <w:rFonts w:ascii="Arial" w:hAnsi="Arial" w:cs="Arial"/>
          <w:sz w:val="24"/>
          <w:szCs w:val="24"/>
        </w:rPr>
        <w:t>en base al Complemento de Destino del año 2014</w:t>
      </w:r>
      <w:r>
        <w:rPr>
          <w:rFonts w:ascii="Arial" w:hAnsi="Arial" w:cs="Arial"/>
          <w:sz w:val="24"/>
          <w:szCs w:val="24"/>
        </w:rPr>
        <w:t>, sin que las cuantías hayan sido actualizadas en las cantidades expuestas en el expositivo precedente.</w:t>
      </w:r>
    </w:p>
    <w:p w:rsidR="003565AA" w:rsidRDefault="003565AA" w:rsidP="00453020">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sz w:val="24"/>
          <w:szCs w:val="24"/>
        </w:rPr>
        <w:tab/>
        <w:t>Por todo ello, salvo error u omisión en su cálculo, esta situación ha supuesto el perjuicio económico que se detalla en las tablas relacionadas a continuación:</w:t>
      </w:r>
    </w:p>
    <w:p w:rsidR="003565AA" w:rsidRPr="00FD79A7" w:rsidRDefault="00FD79A7" w:rsidP="00310941">
      <w:pPr>
        <w:spacing w:before="240" w:line="300" w:lineRule="auto"/>
        <w:jc w:val="both"/>
        <w:rPr>
          <w:rFonts w:ascii="Arial" w:hAnsi="Arial" w:cs="Arial"/>
          <w:b/>
          <w:bCs/>
          <w:i/>
          <w:color w:val="FF0000"/>
          <w:sz w:val="24"/>
          <w:szCs w:val="24"/>
        </w:rPr>
      </w:pPr>
      <w:r w:rsidRPr="00FD79A7">
        <w:rPr>
          <w:rFonts w:ascii="Arial" w:hAnsi="Arial" w:cs="Arial"/>
          <w:b/>
          <w:bCs/>
          <w:i/>
          <w:color w:val="FF0000"/>
          <w:sz w:val="24"/>
          <w:szCs w:val="24"/>
        </w:rPr>
        <w:t>LA GRAN MAYORIA DE LOS EVENTUALES DE LA 125 PROMOCION HAN COBRADO ESTA PRODUCTIVIDAD ESTRUCTURAL. DE TODAS FORMAS COMPROBARLO</w:t>
      </w:r>
      <w:r>
        <w:rPr>
          <w:rFonts w:ascii="Arial" w:hAnsi="Arial" w:cs="Arial"/>
          <w:b/>
          <w:bCs/>
          <w:i/>
          <w:color w:val="FF0000"/>
          <w:sz w:val="24"/>
          <w:szCs w:val="24"/>
        </w:rPr>
        <w:t>.</w:t>
      </w:r>
    </w:p>
    <w:tbl>
      <w:tblPr>
        <w:tblW w:w="9214" w:type="dxa"/>
        <w:jc w:val="center"/>
        <w:tblCellSpacing w:w="15" w:type="dxa"/>
        <w:tblCellMar>
          <w:top w:w="15" w:type="dxa"/>
          <w:left w:w="15" w:type="dxa"/>
          <w:bottom w:w="15" w:type="dxa"/>
          <w:right w:w="15" w:type="dxa"/>
        </w:tblCellMar>
        <w:tblLook w:val="00A0" w:firstRow="1" w:lastRow="0" w:firstColumn="1" w:lastColumn="0" w:noHBand="0" w:noVBand="0"/>
      </w:tblPr>
      <w:tblGrid>
        <w:gridCol w:w="2127"/>
        <w:gridCol w:w="2426"/>
        <w:gridCol w:w="2677"/>
        <w:gridCol w:w="1984"/>
      </w:tblGrid>
      <w:tr w:rsidR="003565AA" w:rsidRPr="00C3652D" w:rsidTr="00F14604">
        <w:trPr>
          <w:trHeight w:val="690"/>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00B050"/>
            <w:tcMar>
              <w:top w:w="15" w:type="dxa"/>
              <w:left w:w="115" w:type="dxa"/>
              <w:bottom w:w="15" w:type="dxa"/>
              <w:right w:w="115" w:type="dxa"/>
            </w:tcMar>
            <w:vAlign w:val="center"/>
          </w:tcPr>
          <w:p w:rsidR="003565AA" w:rsidRPr="00C3652D" w:rsidRDefault="003565AA" w:rsidP="007C789B">
            <w:pPr>
              <w:spacing w:before="240" w:line="300" w:lineRule="auto"/>
              <w:jc w:val="center"/>
              <w:rPr>
                <w:rFonts w:ascii="Arial" w:hAnsi="Arial" w:cs="Arial"/>
                <w:b/>
                <w:bCs/>
                <w:sz w:val="24"/>
                <w:szCs w:val="24"/>
              </w:rPr>
            </w:pPr>
            <w:r w:rsidRPr="00C3652D">
              <w:rPr>
                <w:rFonts w:ascii="Arial" w:hAnsi="Arial" w:cs="Arial"/>
                <w:b/>
                <w:bCs/>
                <w:sz w:val="24"/>
                <w:szCs w:val="24"/>
              </w:rPr>
              <w:t>Año 2020</w:t>
            </w:r>
          </w:p>
        </w:tc>
        <w:tc>
          <w:tcPr>
            <w:tcW w:w="2396" w:type="dxa"/>
            <w:tcBorders>
              <w:top w:val="single" w:sz="4" w:space="0" w:color="000000"/>
              <w:left w:val="single" w:sz="4" w:space="0" w:color="000000"/>
              <w:bottom w:val="single" w:sz="4" w:space="0" w:color="000000"/>
              <w:right w:val="single" w:sz="4" w:space="0" w:color="000000"/>
            </w:tcBorders>
            <w:shd w:val="clear" w:color="auto" w:fill="00B050"/>
            <w:tcMar>
              <w:top w:w="15" w:type="dxa"/>
              <w:left w:w="115" w:type="dxa"/>
              <w:bottom w:w="15" w:type="dxa"/>
              <w:right w:w="115" w:type="dxa"/>
            </w:tcMar>
            <w:vAlign w:val="center"/>
          </w:tcPr>
          <w:p w:rsidR="003565AA" w:rsidRPr="00C3652D" w:rsidRDefault="003565AA" w:rsidP="007C789B">
            <w:pPr>
              <w:spacing w:before="240" w:line="300" w:lineRule="auto"/>
              <w:jc w:val="center"/>
              <w:rPr>
                <w:rFonts w:ascii="Arial" w:hAnsi="Arial" w:cs="Arial"/>
                <w:sz w:val="24"/>
                <w:szCs w:val="24"/>
              </w:rPr>
            </w:pPr>
            <w:r w:rsidRPr="00C3652D">
              <w:rPr>
                <w:rFonts w:ascii="Arial" w:hAnsi="Arial" w:cs="Arial"/>
                <w:sz w:val="24"/>
                <w:szCs w:val="24"/>
              </w:rPr>
              <w:t>Cuantía percibida</w:t>
            </w:r>
          </w:p>
        </w:tc>
        <w:tc>
          <w:tcPr>
            <w:tcW w:w="2647" w:type="dxa"/>
            <w:tcBorders>
              <w:top w:val="single" w:sz="4" w:space="0" w:color="000000"/>
              <w:left w:val="single" w:sz="4" w:space="0" w:color="000000"/>
              <w:bottom w:val="single" w:sz="4" w:space="0" w:color="000000"/>
              <w:right w:val="single" w:sz="4" w:space="0" w:color="000000"/>
            </w:tcBorders>
            <w:shd w:val="clear" w:color="auto" w:fill="00B050"/>
            <w:tcMar>
              <w:top w:w="15" w:type="dxa"/>
              <w:left w:w="115" w:type="dxa"/>
              <w:bottom w:w="15" w:type="dxa"/>
              <w:right w:w="115" w:type="dxa"/>
            </w:tcMar>
            <w:vAlign w:val="center"/>
          </w:tcPr>
          <w:p w:rsidR="003565AA" w:rsidRPr="00C3652D" w:rsidRDefault="003565AA" w:rsidP="007C789B">
            <w:pPr>
              <w:spacing w:before="240" w:line="300" w:lineRule="auto"/>
              <w:jc w:val="center"/>
              <w:rPr>
                <w:rFonts w:ascii="Arial" w:hAnsi="Arial" w:cs="Arial"/>
                <w:sz w:val="24"/>
                <w:szCs w:val="24"/>
              </w:rPr>
            </w:pPr>
            <w:r w:rsidRPr="00C3652D">
              <w:rPr>
                <w:rFonts w:ascii="Arial" w:hAnsi="Arial" w:cs="Arial"/>
                <w:sz w:val="24"/>
                <w:szCs w:val="24"/>
              </w:rPr>
              <w:t>Cuantía Actualizada</w:t>
            </w:r>
          </w:p>
        </w:tc>
        <w:tc>
          <w:tcPr>
            <w:tcW w:w="1939" w:type="dxa"/>
            <w:tcBorders>
              <w:top w:val="single" w:sz="4" w:space="0" w:color="000000"/>
              <w:left w:val="single" w:sz="4" w:space="0" w:color="000000"/>
              <w:bottom w:val="single" w:sz="4" w:space="0" w:color="000000"/>
              <w:right w:val="single" w:sz="4" w:space="0" w:color="000000"/>
            </w:tcBorders>
            <w:shd w:val="clear" w:color="auto" w:fill="00B050"/>
            <w:tcMar>
              <w:top w:w="15" w:type="dxa"/>
              <w:left w:w="115" w:type="dxa"/>
              <w:bottom w:w="15" w:type="dxa"/>
              <w:right w:w="115" w:type="dxa"/>
            </w:tcMar>
            <w:vAlign w:val="center"/>
          </w:tcPr>
          <w:p w:rsidR="003565AA" w:rsidRPr="00C3652D" w:rsidRDefault="003565AA" w:rsidP="007C789B">
            <w:pPr>
              <w:spacing w:before="240" w:line="300" w:lineRule="auto"/>
              <w:jc w:val="center"/>
              <w:rPr>
                <w:rFonts w:ascii="Arial" w:hAnsi="Arial" w:cs="Arial"/>
                <w:sz w:val="24"/>
                <w:szCs w:val="24"/>
              </w:rPr>
            </w:pPr>
            <w:r w:rsidRPr="00C3652D">
              <w:rPr>
                <w:rFonts w:ascii="Arial" w:hAnsi="Arial" w:cs="Arial"/>
                <w:sz w:val="24"/>
                <w:szCs w:val="24"/>
              </w:rPr>
              <w:t>Diferencia</w:t>
            </w:r>
          </w:p>
        </w:tc>
      </w:tr>
      <w:tr w:rsidR="003565AA" w:rsidRPr="00C3652D" w:rsidTr="00F14604">
        <w:trPr>
          <w:trHeight w:val="496"/>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sz w:val="24"/>
                <w:szCs w:val="24"/>
              </w:rPr>
              <w:t>Enero</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sz w:val="24"/>
                <w:szCs w:val="24"/>
              </w:rPr>
              <w:t>€</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color w:val="000000"/>
                <w:sz w:val="24"/>
                <w:szCs w:val="24"/>
              </w:rPr>
            </w:pPr>
            <w:r w:rsidRPr="00C3652D">
              <w:rPr>
                <w:rFonts w:ascii="Arial" w:hAnsi="Arial" w:cs="Arial"/>
                <w:color w:val="000000"/>
                <w:sz w:val="24"/>
                <w:szCs w:val="24"/>
              </w:rPr>
              <w:t>€</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sz w:val="24"/>
                <w:szCs w:val="24"/>
              </w:rPr>
              <w:t>€</w:t>
            </w:r>
          </w:p>
        </w:tc>
      </w:tr>
      <w:tr w:rsidR="003565AA" w:rsidRPr="00C3652D" w:rsidTr="00F14604">
        <w:trPr>
          <w:trHeight w:val="496"/>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sz w:val="24"/>
                <w:szCs w:val="24"/>
              </w:rPr>
              <w:t>Febrero</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color w:val="000000"/>
                <w:sz w:val="24"/>
                <w:szCs w:val="24"/>
              </w:rPr>
              <w:t>€</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color w:val="000000"/>
                <w:sz w:val="24"/>
                <w:szCs w:val="24"/>
              </w:rPr>
            </w:pPr>
            <w:r w:rsidRPr="00C3652D">
              <w:rPr>
                <w:rFonts w:ascii="Arial" w:hAnsi="Arial" w:cs="Arial"/>
                <w:color w:val="000000"/>
                <w:sz w:val="24"/>
                <w:szCs w:val="24"/>
              </w:rPr>
              <w:t>€</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sz w:val="24"/>
                <w:szCs w:val="24"/>
              </w:rPr>
              <w:t>€</w:t>
            </w:r>
          </w:p>
        </w:tc>
      </w:tr>
      <w:tr w:rsidR="003565AA" w:rsidRPr="00C3652D" w:rsidTr="00F14604">
        <w:trPr>
          <w:trHeight w:val="496"/>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sz w:val="24"/>
                <w:szCs w:val="24"/>
              </w:rPr>
              <w:t>Marzo</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color w:val="000000"/>
                <w:sz w:val="24"/>
                <w:szCs w:val="24"/>
              </w:rPr>
              <w:t>€</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color w:val="000000"/>
                <w:sz w:val="24"/>
                <w:szCs w:val="24"/>
              </w:rPr>
            </w:pPr>
            <w:r w:rsidRPr="00C3652D">
              <w:rPr>
                <w:rFonts w:ascii="Arial" w:hAnsi="Arial" w:cs="Arial"/>
                <w:color w:val="000000"/>
                <w:sz w:val="24"/>
                <w:szCs w:val="24"/>
              </w:rPr>
              <w:t>€</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sz w:val="24"/>
                <w:szCs w:val="24"/>
              </w:rPr>
              <w:t>€</w:t>
            </w:r>
          </w:p>
        </w:tc>
      </w:tr>
      <w:tr w:rsidR="003565AA" w:rsidRPr="00C3652D" w:rsidTr="00F14604">
        <w:trPr>
          <w:trHeight w:val="496"/>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sz w:val="24"/>
                <w:szCs w:val="24"/>
              </w:rPr>
              <w:t>Abril</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sz w:val="24"/>
                <w:szCs w:val="24"/>
              </w:rPr>
              <w:t>€</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color w:val="000000"/>
                <w:sz w:val="24"/>
                <w:szCs w:val="24"/>
              </w:rPr>
            </w:pPr>
            <w:r w:rsidRPr="00C3652D">
              <w:rPr>
                <w:rFonts w:ascii="Arial" w:hAnsi="Arial" w:cs="Arial"/>
                <w:color w:val="000000"/>
                <w:sz w:val="24"/>
                <w:szCs w:val="24"/>
              </w:rPr>
              <w:t>€</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sz w:val="24"/>
                <w:szCs w:val="24"/>
              </w:rPr>
              <w:t>€</w:t>
            </w:r>
          </w:p>
        </w:tc>
      </w:tr>
      <w:tr w:rsidR="003565AA" w:rsidRPr="00C3652D" w:rsidTr="00F14604">
        <w:trPr>
          <w:trHeight w:val="496"/>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sz w:val="24"/>
                <w:szCs w:val="24"/>
              </w:rPr>
              <w:t xml:space="preserve">Mayo </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sz w:val="24"/>
                <w:szCs w:val="24"/>
              </w:rPr>
              <w:t>€</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color w:val="000000"/>
                <w:sz w:val="24"/>
                <w:szCs w:val="24"/>
              </w:rPr>
              <w:t>€</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sz w:val="24"/>
                <w:szCs w:val="24"/>
              </w:rPr>
            </w:pPr>
            <w:r w:rsidRPr="00C3652D">
              <w:rPr>
                <w:rFonts w:ascii="Arial" w:hAnsi="Arial" w:cs="Arial"/>
                <w:sz w:val="24"/>
                <w:szCs w:val="24"/>
              </w:rPr>
              <w:t>€</w:t>
            </w:r>
          </w:p>
        </w:tc>
      </w:tr>
      <w:tr w:rsidR="003565AA" w:rsidRPr="00C3652D" w:rsidTr="00F14604">
        <w:trPr>
          <w:trHeight w:val="372"/>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color w:val="000000"/>
                <w:sz w:val="24"/>
                <w:szCs w:val="24"/>
              </w:rPr>
            </w:pPr>
            <w:r w:rsidRPr="00C3652D">
              <w:rPr>
                <w:rFonts w:ascii="Arial" w:hAnsi="Arial" w:cs="Arial"/>
                <w:color w:val="000000"/>
                <w:sz w:val="24"/>
                <w:szCs w:val="24"/>
              </w:rPr>
              <w:t xml:space="preserve">Junio </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color w:val="000000"/>
                <w:sz w:val="24"/>
                <w:szCs w:val="24"/>
              </w:rPr>
            </w:pPr>
            <w:r w:rsidRPr="00C3652D">
              <w:rPr>
                <w:rFonts w:ascii="Arial" w:hAnsi="Arial" w:cs="Arial"/>
                <w:color w:val="000000"/>
                <w:sz w:val="24"/>
                <w:szCs w:val="24"/>
              </w:rPr>
              <w:t>€</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color w:val="000000"/>
                <w:sz w:val="24"/>
                <w:szCs w:val="24"/>
              </w:rPr>
            </w:pPr>
            <w:r w:rsidRPr="00C3652D">
              <w:rPr>
                <w:rFonts w:ascii="Arial" w:hAnsi="Arial" w:cs="Arial"/>
                <w:color w:val="000000"/>
                <w:sz w:val="24"/>
                <w:szCs w:val="24"/>
              </w:rPr>
              <w:t>€</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C3652D" w:rsidRDefault="003565AA" w:rsidP="007C789B">
            <w:pPr>
              <w:spacing w:after="0" w:line="300" w:lineRule="auto"/>
              <w:jc w:val="both"/>
              <w:rPr>
                <w:rFonts w:ascii="Arial" w:hAnsi="Arial" w:cs="Arial"/>
                <w:color w:val="000000"/>
                <w:sz w:val="24"/>
                <w:szCs w:val="24"/>
              </w:rPr>
            </w:pPr>
            <w:r w:rsidRPr="00C3652D">
              <w:rPr>
                <w:rFonts w:ascii="Arial" w:hAnsi="Arial" w:cs="Arial"/>
                <w:sz w:val="24"/>
                <w:szCs w:val="24"/>
              </w:rPr>
              <w:t>€</w:t>
            </w:r>
          </w:p>
        </w:tc>
      </w:tr>
      <w:tr w:rsidR="003316FA" w:rsidRPr="00C3652D" w:rsidTr="002C61D4">
        <w:trPr>
          <w:trHeight w:val="372"/>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316FA" w:rsidRPr="00C3652D" w:rsidRDefault="003316FA" w:rsidP="007C789B">
            <w:pPr>
              <w:spacing w:after="0" w:line="300" w:lineRule="auto"/>
              <w:jc w:val="both"/>
              <w:rPr>
                <w:rFonts w:ascii="Arial" w:hAnsi="Arial" w:cs="Arial"/>
                <w:color w:val="000000"/>
                <w:sz w:val="24"/>
                <w:szCs w:val="24"/>
              </w:rPr>
            </w:pPr>
            <w:r w:rsidRPr="00C3652D">
              <w:rPr>
                <w:rFonts w:ascii="Arial" w:hAnsi="Arial" w:cs="Arial"/>
                <w:color w:val="000000"/>
                <w:sz w:val="24"/>
                <w:szCs w:val="24"/>
              </w:rPr>
              <w:t xml:space="preserve">Julio </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70,74</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76,75</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6,01</w:t>
            </w:r>
          </w:p>
        </w:tc>
      </w:tr>
      <w:tr w:rsidR="003316FA" w:rsidRPr="00C3652D" w:rsidTr="002C61D4">
        <w:trPr>
          <w:trHeight w:val="372"/>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316FA" w:rsidRPr="00C3652D" w:rsidRDefault="003316FA" w:rsidP="007C789B">
            <w:pPr>
              <w:spacing w:after="0" w:line="300" w:lineRule="auto"/>
              <w:jc w:val="both"/>
              <w:rPr>
                <w:rFonts w:ascii="Arial" w:hAnsi="Arial" w:cs="Arial"/>
                <w:color w:val="000000"/>
                <w:sz w:val="24"/>
                <w:szCs w:val="24"/>
              </w:rPr>
            </w:pPr>
            <w:r w:rsidRPr="00C3652D">
              <w:rPr>
                <w:rFonts w:ascii="Arial" w:hAnsi="Arial" w:cs="Arial"/>
                <w:color w:val="000000"/>
                <w:sz w:val="24"/>
                <w:szCs w:val="24"/>
              </w:rPr>
              <w:t xml:space="preserve">Agosto </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70,74</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76,75</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6,01</w:t>
            </w:r>
          </w:p>
        </w:tc>
      </w:tr>
      <w:tr w:rsidR="003316FA" w:rsidRPr="00C3652D" w:rsidTr="002C61D4">
        <w:trPr>
          <w:trHeight w:val="372"/>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316FA" w:rsidRPr="00C3652D" w:rsidRDefault="003316FA" w:rsidP="007C789B">
            <w:pPr>
              <w:spacing w:after="0" w:line="300" w:lineRule="auto"/>
              <w:jc w:val="both"/>
              <w:rPr>
                <w:rFonts w:ascii="Arial" w:hAnsi="Arial" w:cs="Arial"/>
                <w:color w:val="000000"/>
                <w:sz w:val="24"/>
                <w:szCs w:val="24"/>
              </w:rPr>
            </w:pPr>
            <w:r w:rsidRPr="00C3652D">
              <w:rPr>
                <w:rFonts w:ascii="Arial" w:hAnsi="Arial" w:cs="Arial"/>
                <w:color w:val="000000"/>
                <w:sz w:val="24"/>
                <w:szCs w:val="24"/>
              </w:rPr>
              <w:t xml:space="preserve">Septiembre </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40,95</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44,43</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3,48</w:t>
            </w:r>
          </w:p>
        </w:tc>
      </w:tr>
      <w:tr w:rsidR="003316FA" w:rsidRPr="00C3652D" w:rsidTr="002C61D4">
        <w:trPr>
          <w:trHeight w:val="372"/>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316FA" w:rsidRPr="00C3652D" w:rsidRDefault="003316FA" w:rsidP="007C789B">
            <w:pPr>
              <w:spacing w:after="0" w:line="300" w:lineRule="auto"/>
              <w:jc w:val="both"/>
              <w:rPr>
                <w:rFonts w:ascii="Arial" w:hAnsi="Arial" w:cs="Arial"/>
                <w:color w:val="000000"/>
                <w:sz w:val="24"/>
                <w:szCs w:val="24"/>
              </w:rPr>
            </w:pPr>
            <w:r w:rsidRPr="00C3652D">
              <w:rPr>
                <w:rFonts w:ascii="Arial" w:hAnsi="Arial" w:cs="Arial"/>
                <w:color w:val="000000"/>
                <w:sz w:val="24"/>
                <w:szCs w:val="24"/>
              </w:rPr>
              <w:t xml:space="preserve">Octubre </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70,74</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76,75</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6,01</w:t>
            </w:r>
          </w:p>
        </w:tc>
      </w:tr>
      <w:tr w:rsidR="003316FA" w:rsidRPr="00C3652D" w:rsidTr="002C61D4">
        <w:trPr>
          <w:trHeight w:val="372"/>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316FA" w:rsidRPr="00C3652D" w:rsidRDefault="003316FA" w:rsidP="007C789B">
            <w:pPr>
              <w:spacing w:after="0" w:line="300" w:lineRule="auto"/>
              <w:jc w:val="both"/>
              <w:rPr>
                <w:rFonts w:ascii="Arial" w:hAnsi="Arial" w:cs="Arial"/>
                <w:color w:val="000000"/>
                <w:sz w:val="24"/>
                <w:szCs w:val="24"/>
              </w:rPr>
            </w:pPr>
            <w:r w:rsidRPr="00C3652D">
              <w:rPr>
                <w:rFonts w:ascii="Arial" w:hAnsi="Arial" w:cs="Arial"/>
                <w:color w:val="000000"/>
                <w:sz w:val="24"/>
                <w:szCs w:val="24"/>
              </w:rPr>
              <w:t xml:space="preserve">Noviembre </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70,74</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76,75</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6,01</w:t>
            </w:r>
          </w:p>
        </w:tc>
      </w:tr>
      <w:tr w:rsidR="003316FA" w:rsidRPr="00C3652D" w:rsidTr="002C61D4">
        <w:trPr>
          <w:trHeight w:val="372"/>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316FA" w:rsidRPr="00C3652D" w:rsidRDefault="003316FA" w:rsidP="007C789B">
            <w:pPr>
              <w:spacing w:after="0" w:line="300" w:lineRule="auto"/>
              <w:jc w:val="both"/>
              <w:rPr>
                <w:rFonts w:ascii="Arial" w:hAnsi="Arial" w:cs="Arial"/>
                <w:color w:val="000000"/>
                <w:sz w:val="24"/>
                <w:szCs w:val="24"/>
              </w:rPr>
            </w:pPr>
            <w:r w:rsidRPr="00C3652D">
              <w:rPr>
                <w:rFonts w:ascii="Arial" w:hAnsi="Arial" w:cs="Arial"/>
                <w:color w:val="000000"/>
                <w:sz w:val="24"/>
                <w:szCs w:val="24"/>
              </w:rPr>
              <w:t xml:space="preserve">Diciembre </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70,74</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76,75</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6,01</w:t>
            </w:r>
          </w:p>
        </w:tc>
      </w:tr>
      <w:tr w:rsidR="003316FA" w:rsidRPr="00C3652D" w:rsidTr="002C61D4">
        <w:trPr>
          <w:trHeight w:val="394"/>
          <w:tblCellSpacing w:w="15" w:type="dxa"/>
          <w:jc w:val="center"/>
        </w:trPr>
        <w:tc>
          <w:tcPr>
            <w:tcW w:w="718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316FA" w:rsidRPr="00FD79A7" w:rsidRDefault="003316FA" w:rsidP="007C789B">
            <w:pPr>
              <w:spacing w:before="240" w:line="300" w:lineRule="auto"/>
              <w:jc w:val="both"/>
              <w:rPr>
                <w:rFonts w:ascii="Arial" w:hAnsi="Arial" w:cs="Arial"/>
                <w:b/>
                <w:sz w:val="24"/>
                <w:szCs w:val="24"/>
              </w:rPr>
            </w:pPr>
            <w:r w:rsidRPr="00FD79A7">
              <w:rPr>
                <w:rFonts w:ascii="Arial" w:hAnsi="Arial" w:cs="Arial"/>
                <w:b/>
                <w:bCs/>
                <w:color w:val="000000"/>
                <w:sz w:val="24"/>
                <w:szCs w:val="24"/>
              </w:rPr>
              <w:t xml:space="preserve"> TOTAL</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3D5155">
            <w:pPr>
              <w:rPr>
                <w:b/>
              </w:rPr>
            </w:pPr>
            <w:r w:rsidRPr="00FD79A7">
              <w:rPr>
                <w:b/>
              </w:rPr>
              <w:t xml:space="preserve"> 33,55</w:t>
            </w:r>
          </w:p>
        </w:tc>
      </w:tr>
    </w:tbl>
    <w:p w:rsidR="003565AA" w:rsidRDefault="003565AA" w:rsidP="00310941">
      <w:pPr>
        <w:spacing w:before="240" w:line="300" w:lineRule="auto"/>
        <w:jc w:val="both"/>
        <w:rPr>
          <w:rFonts w:ascii="Arial" w:hAnsi="Arial" w:cs="Arial"/>
          <w:b/>
          <w:bCs/>
          <w:sz w:val="24"/>
          <w:szCs w:val="24"/>
        </w:rPr>
      </w:pPr>
    </w:p>
    <w:tbl>
      <w:tblPr>
        <w:tblW w:w="9214" w:type="dxa"/>
        <w:jc w:val="center"/>
        <w:tblCellSpacing w:w="15" w:type="dxa"/>
        <w:tblCellMar>
          <w:top w:w="15" w:type="dxa"/>
          <w:left w:w="15" w:type="dxa"/>
          <w:bottom w:w="15" w:type="dxa"/>
          <w:right w:w="15" w:type="dxa"/>
        </w:tblCellMar>
        <w:tblLook w:val="00A0" w:firstRow="1" w:lastRow="0" w:firstColumn="1" w:lastColumn="0" w:noHBand="0" w:noVBand="0"/>
      </w:tblPr>
      <w:tblGrid>
        <w:gridCol w:w="2127"/>
        <w:gridCol w:w="2426"/>
        <w:gridCol w:w="2677"/>
        <w:gridCol w:w="1984"/>
      </w:tblGrid>
      <w:tr w:rsidR="003565AA" w:rsidRPr="00C3652D" w:rsidTr="00404E84">
        <w:trPr>
          <w:trHeight w:val="690"/>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00B050"/>
            <w:tcMar>
              <w:top w:w="15" w:type="dxa"/>
              <w:left w:w="115" w:type="dxa"/>
              <w:bottom w:w="15" w:type="dxa"/>
              <w:right w:w="115" w:type="dxa"/>
            </w:tcMar>
            <w:vAlign w:val="center"/>
          </w:tcPr>
          <w:p w:rsidR="003565AA" w:rsidRPr="00C3652D" w:rsidRDefault="003565AA" w:rsidP="007C789B">
            <w:pPr>
              <w:spacing w:before="240" w:line="300" w:lineRule="auto"/>
              <w:jc w:val="center"/>
              <w:rPr>
                <w:rFonts w:ascii="Arial" w:hAnsi="Arial" w:cs="Arial"/>
                <w:b/>
                <w:bCs/>
                <w:sz w:val="24"/>
                <w:szCs w:val="24"/>
              </w:rPr>
            </w:pPr>
            <w:r w:rsidRPr="00C3652D">
              <w:rPr>
                <w:rFonts w:ascii="Arial" w:hAnsi="Arial" w:cs="Arial"/>
                <w:b/>
                <w:bCs/>
                <w:sz w:val="24"/>
                <w:szCs w:val="24"/>
              </w:rPr>
              <w:t>Año 2021</w:t>
            </w:r>
          </w:p>
        </w:tc>
        <w:tc>
          <w:tcPr>
            <w:tcW w:w="2396" w:type="dxa"/>
            <w:tcBorders>
              <w:top w:val="single" w:sz="4" w:space="0" w:color="000000"/>
              <w:left w:val="single" w:sz="4" w:space="0" w:color="000000"/>
              <w:bottom w:val="single" w:sz="4" w:space="0" w:color="000000"/>
              <w:right w:val="single" w:sz="4" w:space="0" w:color="000000"/>
            </w:tcBorders>
            <w:shd w:val="clear" w:color="auto" w:fill="00B050"/>
            <w:tcMar>
              <w:top w:w="15" w:type="dxa"/>
              <w:left w:w="115" w:type="dxa"/>
              <w:bottom w:w="15" w:type="dxa"/>
              <w:right w:w="115" w:type="dxa"/>
            </w:tcMar>
            <w:vAlign w:val="center"/>
          </w:tcPr>
          <w:p w:rsidR="003565AA" w:rsidRPr="00C3652D" w:rsidRDefault="003565AA" w:rsidP="007C789B">
            <w:pPr>
              <w:spacing w:before="240" w:line="300" w:lineRule="auto"/>
              <w:jc w:val="center"/>
              <w:rPr>
                <w:rFonts w:ascii="Arial" w:hAnsi="Arial" w:cs="Arial"/>
                <w:sz w:val="24"/>
                <w:szCs w:val="24"/>
              </w:rPr>
            </w:pPr>
            <w:r w:rsidRPr="00C3652D">
              <w:rPr>
                <w:rFonts w:ascii="Arial" w:hAnsi="Arial" w:cs="Arial"/>
                <w:sz w:val="24"/>
                <w:szCs w:val="24"/>
              </w:rPr>
              <w:t>Cuantía percibida</w:t>
            </w:r>
          </w:p>
        </w:tc>
        <w:tc>
          <w:tcPr>
            <w:tcW w:w="2647" w:type="dxa"/>
            <w:tcBorders>
              <w:top w:val="single" w:sz="4" w:space="0" w:color="000000"/>
              <w:left w:val="single" w:sz="4" w:space="0" w:color="000000"/>
              <w:bottom w:val="single" w:sz="4" w:space="0" w:color="000000"/>
              <w:right w:val="single" w:sz="4" w:space="0" w:color="000000"/>
            </w:tcBorders>
            <w:shd w:val="clear" w:color="auto" w:fill="00B050"/>
            <w:tcMar>
              <w:top w:w="15" w:type="dxa"/>
              <w:left w:w="115" w:type="dxa"/>
              <w:bottom w:w="15" w:type="dxa"/>
              <w:right w:w="115" w:type="dxa"/>
            </w:tcMar>
            <w:vAlign w:val="center"/>
          </w:tcPr>
          <w:p w:rsidR="003565AA" w:rsidRPr="00C3652D" w:rsidRDefault="003565AA" w:rsidP="007C789B">
            <w:pPr>
              <w:spacing w:before="240" w:line="300" w:lineRule="auto"/>
              <w:jc w:val="center"/>
              <w:rPr>
                <w:rFonts w:ascii="Arial" w:hAnsi="Arial" w:cs="Arial"/>
                <w:sz w:val="24"/>
                <w:szCs w:val="24"/>
              </w:rPr>
            </w:pPr>
            <w:r w:rsidRPr="00C3652D">
              <w:rPr>
                <w:rFonts w:ascii="Arial" w:hAnsi="Arial" w:cs="Arial"/>
                <w:sz w:val="24"/>
                <w:szCs w:val="24"/>
              </w:rPr>
              <w:t>Cuantía Actualizada</w:t>
            </w:r>
          </w:p>
        </w:tc>
        <w:tc>
          <w:tcPr>
            <w:tcW w:w="1939" w:type="dxa"/>
            <w:tcBorders>
              <w:top w:val="single" w:sz="4" w:space="0" w:color="000000"/>
              <w:left w:val="single" w:sz="4" w:space="0" w:color="000000"/>
              <w:bottom w:val="single" w:sz="4" w:space="0" w:color="000000"/>
              <w:right w:val="single" w:sz="4" w:space="0" w:color="000000"/>
            </w:tcBorders>
            <w:shd w:val="clear" w:color="auto" w:fill="00B050"/>
            <w:tcMar>
              <w:top w:w="15" w:type="dxa"/>
              <w:left w:w="115" w:type="dxa"/>
              <w:bottom w:w="15" w:type="dxa"/>
              <w:right w:w="115" w:type="dxa"/>
            </w:tcMar>
            <w:vAlign w:val="center"/>
          </w:tcPr>
          <w:p w:rsidR="003565AA" w:rsidRPr="00C3652D" w:rsidRDefault="003565AA" w:rsidP="007C789B">
            <w:pPr>
              <w:spacing w:before="240" w:line="300" w:lineRule="auto"/>
              <w:jc w:val="center"/>
              <w:rPr>
                <w:rFonts w:ascii="Arial" w:hAnsi="Arial" w:cs="Arial"/>
                <w:sz w:val="24"/>
                <w:szCs w:val="24"/>
              </w:rPr>
            </w:pPr>
            <w:r w:rsidRPr="00C3652D">
              <w:rPr>
                <w:rFonts w:ascii="Arial" w:hAnsi="Arial" w:cs="Arial"/>
                <w:sz w:val="24"/>
                <w:szCs w:val="24"/>
              </w:rPr>
              <w:t>Diferencia</w:t>
            </w:r>
          </w:p>
        </w:tc>
      </w:tr>
      <w:tr w:rsidR="003316FA" w:rsidRPr="00C3652D" w:rsidTr="000B6E07">
        <w:trPr>
          <w:trHeight w:val="496"/>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316FA" w:rsidRPr="00C3652D" w:rsidRDefault="003316FA" w:rsidP="007C789B">
            <w:pPr>
              <w:spacing w:after="0" w:line="300" w:lineRule="auto"/>
              <w:jc w:val="both"/>
              <w:rPr>
                <w:rFonts w:ascii="Arial" w:hAnsi="Arial" w:cs="Arial"/>
                <w:sz w:val="24"/>
                <w:szCs w:val="24"/>
              </w:rPr>
            </w:pPr>
            <w:r w:rsidRPr="00C3652D">
              <w:rPr>
                <w:rFonts w:ascii="Arial" w:hAnsi="Arial" w:cs="Arial"/>
                <w:sz w:val="24"/>
                <w:szCs w:val="24"/>
              </w:rPr>
              <w:t>Enero</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5065C5">
            <w:pPr>
              <w:rPr>
                <w:b/>
              </w:rPr>
            </w:pPr>
            <w:r w:rsidRPr="00FD79A7">
              <w:rPr>
                <w:b/>
              </w:rPr>
              <w:t>70,74</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5065C5">
            <w:pPr>
              <w:rPr>
                <w:b/>
              </w:rPr>
            </w:pPr>
            <w:r w:rsidRPr="00FD79A7">
              <w:rPr>
                <w:b/>
              </w:rPr>
              <w:t>76,75</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5065C5">
            <w:pPr>
              <w:rPr>
                <w:b/>
              </w:rPr>
            </w:pPr>
            <w:r w:rsidRPr="00FD79A7">
              <w:rPr>
                <w:b/>
              </w:rPr>
              <w:t>6,01</w:t>
            </w:r>
          </w:p>
        </w:tc>
      </w:tr>
      <w:tr w:rsidR="003316FA" w:rsidRPr="00C3652D" w:rsidTr="000B6E07">
        <w:trPr>
          <w:trHeight w:val="496"/>
          <w:tblCellSpacing w:w="15" w:type="dxa"/>
          <w:jc w:val="center"/>
        </w:trPr>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316FA" w:rsidRPr="00C3652D" w:rsidRDefault="003316FA" w:rsidP="007C789B">
            <w:pPr>
              <w:spacing w:after="0" w:line="300" w:lineRule="auto"/>
              <w:jc w:val="both"/>
              <w:rPr>
                <w:rFonts w:ascii="Arial" w:hAnsi="Arial" w:cs="Arial"/>
                <w:sz w:val="24"/>
                <w:szCs w:val="24"/>
              </w:rPr>
            </w:pPr>
            <w:r w:rsidRPr="00C3652D">
              <w:rPr>
                <w:rFonts w:ascii="Arial" w:hAnsi="Arial" w:cs="Arial"/>
                <w:sz w:val="24"/>
                <w:szCs w:val="24"/>
              </w:rPr>
              <w:t>Febrero</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5065C5">
            <w:pPr>
              <w:rPr>
                <w:b/>
              </w:rPr>
            </w:pPr>
            <w:r w:rsidRPr="00FD79A7">
              <w:rPr>
                <w:b/>
              </w:rPr>
              <w:t>70,74</w:t>
            </w:r>
          </w:p>
        </w:tc>
        <w:tc>
          <w:tcPr>
            <w:tcW w:w="2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5065C5">
            <w:pPr>
              <w:rPr>
                <w:b/>
              </w:rPr>
            </w:pPr>
            <w:r w:rsidRPr="00FD79A7">
              <w:rPr>
                <w:b/>
              </w:rPr>
              <w:t>76,75</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5065C5">
            <w:pPr>
              <w:rPr>
                <w:b/>
              </w:rPr>
            </w:pPr>
            <w:r w:rsidRPr="00FD79A7">
              <w:rPr>
                <w:b/>
              </w:rPr>
              <w:t>6,01</w:t>
            </w:r>
          </w:p>
        </w:tc>
      </w:tr>
      <w:tr w:rsidR="003565AA" w:rsidRPr="00C3652D" w:rsidTr="00404E84">
        <w:trPr>
          <w:trHeight w:val="394"/>
          <w:tblCellSpacing w:w="15" w:type="dxa"/>
          <w:jc w:val="center"/>
        </w:trPr>
        <w:tc>
          <w:tcPr>
            <w:tcW w:w="718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FD79A7" w:rsidRDefault="003565AA" w:rsidP="007C789B">
            <w:pPr>
              <w:spacing w:before="240" w:line="300" w:lineRule="auto"/>
              <w:jc w:val="both"/>
              <w:rPr>
                <w:rFonts w:ascii="Arial" w:hAnsi="Arial" w:cs="Arial"/>
                <w:b/>
                <w:sz w:val="24"/>
                <w:szCs w:val="24"/>
              </w:rPr>
            </w:pPr>
            <w:r w:rsidRPr="00FD79A7">
              <w:rPr>
                <w:rFonts w:ascii="Arial" w:hAnsi="Arial" w:cs="Arial"/>
                <w:b/>
                <w:bCs/>
                <w:color w:val="000000"/>
                <w:sz w:val="24"/>
                <w:szCs w:val="24"/>
              </w:rPr>
              <w:t xml:space="preserve"> TOTAL</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565AA" w:rsidRPr="00FD79A7" w:rsidRDefault="003316FA" w:rsidP="007C789B">
            <w:pPr>
              <w:spacing w:before="240" w:line="300" w:lineRule="auto"/>
              <w:jc w:val="both"/>
              <w:rPr>
                <w:rFonts w:ascii="Arial" w:hAnsi="Arial" w:cs="Arial"/>
                <w:b/>
                <w:sz w:val="24"/>
                <w:szCs w:val="24"/>
              </w:rPr>
            </w:pPr>
            <w:r w:rsidRPr="00FD79A7">
              <w:rPr>
                <w:rFonts w:ascii="Arial" w:hAnsi="Arial" w:cs="Arial"/>
                <w:b/>
                <w:sz w:val="24"/>
                <w:szCs w:val="24"/>
              </w:rPr>
              <w:t>12,03</w:t>
            </w:r>
          </w:p>
        </w:tc>
      </w:tr>
    </w:tbl>
    <w:p w:rsidR="003565AA" w:rsidRDefault="003565AA" w:rsidP="00310941">
      <w:pPr>
        <w:spacing w:before="240" w:line="300" w:lineRule="auto"/>
        <w:jc w:val="both"/>
        <w:rPr>
          <w:rFonts w:ascii="Arial" w:hAnsi="Arial" w:cs="Arial"/>
          <w:b/>
          <w:bCs/>
          <w:sz w:val="24"/>
          <w:szCs w:val="24"/>
        </w:rPr>
      </w:pPr>
      <w:r>
        <w:rPr>
          <w:rFonts w:ascii="Arial" w:hAnsi="Arial" w:cs="Arial"/>
          <w:b/>
          <w:bCs/>
          <w:sz w:val="24"/>
          <w:szCs w:val="24"/>
        </w:rPr>
        <w:tab/>
      </w:r>
    </w:p>
    <w:tbl>
      <w:tblPr>
        <w:tblW w:w="7331" w:type="dxa"/>
        <w:jc w:val="center"/>
        <w:tblCellSpacing w:w="15" w:type="dxa"/>
        <w:tblCellMar>
          <w:top w:w="15" w:type="dxa"/>
          <w:left w:w="15" w:type="dxa"/>
          <w:bottom w:w="15" w:type="dxa"/>
          <w:right w:w="15" w:type="dxa"/>
        </w:tblCellMar>
        <w:tblLook w:val="00A0" w:firstRow="1" w:lastRow="0" w:firstColumn="1" w:lastColumn="0" w:noHBand="0" w:noVBand="0"/>
      </w:tblPr>
      <w:tblGrid>
        <w:gridCol w:w="3827"/>
        <w:gridCol w:w="3504"/>
      </w:tblGrid>
      <w:tr w:rsidR="003565AA" w:rsidRPr="00C3652D" w:rsidTr="00404E84">
        <w:trPr>
          <w:trHeight w:val="719"/>
          <w:tblCellSpacing w:w="15" w:type="dxa"/>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00B050"/>
            <w:tcMar>
              <w:top w:w="15" w:type="dxa"/>
              <w:left w:w="115" w:type="dxa"/>
              <w:bottom w:w="15" w:type="dxa"/>
              <w:right w:w="115" w:type="dxa"/>
            </w:tcMar>
            <w:vAlign w:val="center"/>
          </w:tcPr>
          <w:p w:rsidR="003565AA" w:rsidRPr="00C3652D" w:rsidRDefault="003565AA" w:rsidP="00404E84">
            <w:pPr>
              <w:spacing w:before="240" w:line="300" w:lineRule="auto"/>
              <w:jc w:val="center"/>
              <w:rPr>
                <w:rFonts w:ascii="Arial" w:hAnsi="Arial" w:cs="Arial"/>
                <w:b/>
                <w:bCs/>
                <w:sz w:val="24"/>
                <w:szCs w:val="24"/>
              </w:rPr>
            </w:pPr>
            <w:r w:rsidRPr="00C3652D">
              <w:rPr>
                <w:rFonts w:ascii="Arial" w:hAnsi="Arial" w:cs="Arial"/>
                <w:b/>
                <w:bCs/>
                <w:sz w:val="24"/>
                <w:szCs w:val="24"/>
              </w:rPr>
              <w:t>AÑO</w:t>
            </w:r>
          </w:p>
        </w:tc>
        <w:tc>
          <w:tcPr>
            <w:tcW w:w="3459" w:type="dxa"/>
            <w:tcBorders>
              <w:top w:val="single" w:sz="4" w:space="0" w:color="000000"/>
              <w:left w:val="single" w:sz="4" w:space="0" w:color="000000"/>
              <w:bottom w:val="single" w:sz="4" w:space="0" w:color="000000"/>
              <w:right w:val="single" w:sz="4" w:space="0" w:color="000000"/>
            </w:tcBorders>
            <w:shd w:val="clear" w:color="auto" w:fill="00B050"/>
            <w:tcMar>
              <w:top w:w="15" w:type="dxa"/>
              <w:left w:w="115" w:type="dxa"/>
              <w:bottom w:w="15" w:type="dxa"/>
              <w:right w:w="115" w:type="dxa"/>
            </w:tcMar>
            <w:vAlign w:val="center"/>
          </w:tcPr>
          <w:p w:rsidR="003565AA" w:rsidRPr="00C3652D" w:rsidRDefault="003565AA" w:rsidP="007C789B">
            <w:pPr>
              <w:spacing w:before="240" w:line="300" w:lineRule="auto"/>
              <w:jc w:val="center"/>
              <w:rPr>
                <w:rFonts w:ascii="Arial" w:hAnsi="Arial" w:cs="Arial"/>
                <w:sz w:val="24"/>
                <w:szCs w:val="24"/>
              </w:rPr>
            </w:pPr>
            <w:r w:rsidRPr="00C3652D">
              <w:rPr>
                <w:rFonts w:ascii="Arial" w:hAnsi="Arial" w:cs="Arial"/>
                <w:sz w:val="24"/>
                <w:szCs w:val="24"/>
              </w:rPr>
              <w:t>Diferencia</w:t>
            </w:r>
          </w:p>
        </w:tc>
      </w:tr>
      <w:tr w:rsidR="003316FA" w:rsidRPr="00C3652D" w:rsidTr="000E6E49">
        <w:trPr>
          <w:trHeight w:val="516"/>
          <w:tblCellSpacing w:w="15" w:type="dxa"/>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316FA" w:rsidRPr="00C3652D" w:rsidRDefault="003316FA" w:rsidP="00953EC6">
            <w:pPr>
              <w:spacing w:after="0" w:line="300" w:lineRule="auto"/>
              <w:jc w:val="both"/>
              <w:rPr>
                <w:rFonts w:ascii="Arial" w:hAnsi="Arial" w:cs="Arial"/>
                <w:sz w:val="24"/>
                <w:szCs w:val="24"/>
              </w:rPr>
            </w:pPr>
            <w:r w:rsidRPr="00C3652D">
              <w:rPr>
                <w:rFonts w:ascii="Arial" w:hAnsi="Arial" w:cs="Arial"/>
                <w:sz w:val="24"/>
                <w:szCs w:val="24"/>
              </w:rPr>
              <w:t>2020</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734728">
            <w:pPr>
              <w:rPr>
                <w:b/>
              </w:rPr>
            </w:pPr>
            <w:r w:rsidRPr="00FD79A7">
              <w:rPr>
                <w:b/>
              </w:rPr>
              <w:t>33,55</w:t>
            </w:r>
          </w:p>
        </w:tc>
      </w:tr>
      <w:tr w:rsidR="003316FA" w:rsidRPr="00C3652D" w:rsidTr="000E6E49">
        <w:trPr>
          <w:trHeight w:val="516"/>
          <w:tblCellSpacing w:w="15" w:type="dxa"/>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316FA" w:rsidRPr="00C3652D" w:rsidRDefault="003316FA" w:rsidP="00953EC6">
            <w:pPr>
              <w:spacing w:after="0" w:line="300" w:lineRule="auto"/>
              <w:jc w:val="both"/>
              <w:rPr>
                <w:rFonts w:ascii="Arial" w:hAnsi="Arial" w:cs="Arial"/>
                <w:sz w:val="24"/>
                <w:szCs w:val="24"/>
              </w:rPr>
            </w:pPr>
            <w:r w:rsidRPr="00C3652D">
              <w:rPr>
                <w:rFonts w:ascii="Arial" w:hAnsi="Arial" w:cs="Arial"/>
                <w:sz w:val="24"/>
                <w:szCs w:val="24"/>
              </w:rPr>
              <w:t>2021</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734728">
            <w:pPr>
              <w:rPr>
                <w:b/>
              </w:rPr>
            </w:pPr>
            <w:r w:rsidRPr="00FD79A7">
              <w:rPr>
                <w:b/>
              </w:rPr>
              <w:t>12,03</w:t>
            </w:r>
          </w:p>
        </w:tc>
      </w:tr>
      <w:tr w:rsidR="003316FA" w:rsidRPr="00C3652D" w:rsidTr="000E6E49">
        <w:trPr>
          <w:trHeight w:val="516"/>
          <w:tblCellSpacing w:w="15" w:type="dxa"/>
          <w:jc w:val="center"/>
        </w:trPr>
        <w:tc>
          <w:tcPr>
            <w:tcW w:w="3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vAlign w:val="center"/>
          </w:tcPr>
          <w:p w:rsidR="003316FA" w:rsidRPr="00C3652D" w:rsidRDefault="003316FA" w:rsidP="00953EC6">
            <w:pPr>
              <w:spacing w:after="0" w:line="300" w:lineRule="auto"/>
              <w:jc w:val="both"/>
              <w:rPr>
                <w:rFonts w:ascii="Arial" w:hAnsi="Arial" w:cs="Arial"/>
                <w:b/>
                <w:bCs/>
                <w:sz w:val="24"/>
                <w:szCs w:val="24"/>
              </w:rPr>
            </w:pPr>
            <w:r w:rsidRPr="00C3652D">
              <w:rPr>
                <w:rFonts w:ascii="Arial" w:hAnsi="Arial" w:cs="Arial"/>
                <w:b/>
                <w:bCs/>
                <w:sz w:val="24"/>
                <w:szCs w:val="24"/>
              </w:rPr>
              <w:t>DIFERENCIA TOTAL</w:t>
            </w:r>
          </w:p>
        </w:tc>
        <w:tc>
          <w:tcPr>
            <w:tcW w:w="34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tcPr>
          <w:p w:rsidR="003316FA" w:rsidRPr="00FD79A7" w:rsidRDefault="003316FA" w:rsidP="00734728">
            <w:pPr>
              <w:rPr>
                <w:b/>
              </w:rPr>
            </w:pPr>
            <w:r w:rsidRPr="00FD79A7">
              <w:rPr>
                <w:b/>
              </w:rPr>
              <w:t>45,58</w:t>
            </w:r>
          </w:p>
        </w:tc>
      </w:tr>
    </w:tbl>
    <w:p w:rsidR="003565AA" w:rsidRDefault="003565AA" w:rsidP="00964092">
      <w:pPr>
        <w:tabs>
          <w:tab w:val="left" w:pos="708"/>
          <w:tab w:val="left" w:pos="1416"/>
          <w:tab w:val="left" w:pos="2124"/>
          <w:tab w:val="left" w:pos="2554"/>
        </w:tabs>
        <w:spacing w:before="240" w:line="300" w:lineRule="auto"/>
        <w:jc w:val="both"/>
        <w:rPr>
          <w:rFonts w:ascii="Arial" w:hAnsi="Arial" w:cs="Arial"/>
          <w:sz w:val="24"/>
          <w:szCs w:val="24"/>
        </w:rPr>
      </w:pPr>
    </w:p>
    <w:p w:rsidR="003565AA" w:rsidRDefault="003565AA" w:rsidP="00964092">
      <w:pPr>
        <w:tabs>
          <w:tab w:val="left" w:pos="708"/>
          <w:tab w:val="left" w:pos="1416"/>
          <w:tab w:val="left" w:pos="2124"/>
          <w:tab w:val="left" w:pos="2554"/>
        </w:tabs>
        <w:spacing w:before="240" w:line="300" w:lineRule="auto"/>
        <w:jc w:val="both"/>
        <w:rPr>
          <w:rFonts w:ascii="Arial" w:hAnsi="Arial" w:cs="Arial"/>
          <w:sz w:val="24"/>
          <w:szCs w:val="24"/>
        </w:rPr>
      </w:pPr>
      <w:r>
        <w:rPr>
          <w:rFonts w:ascii="Arial" w:hAnsi="Arial" w:cs="Arial"/>
          <w:sz w:val="24"/>
          <w:szCs w:val="24"/>
        </w:rPr>
        <w:tab/>
        <w:t xml:space="preserve">Esta circunstancia ha supuesto, salvo error u omisión en su cálculo, un perjuicio económico total de </w:t>
      </w:r>
      <w:r w:rsidR="003316FA">
        <w:rPr>
          <w:rFonts w:ascii="Arial" w:hAnsi="Arial" w:cs="Arial"/>
          <w:i/>
          <w:color w:val="FF0000"/>
          <w:sz w:val="24"/>
          <w:szCs w:val="24"/>
        </w:rPr>
        <w:t>CUARENTA Y CINCO EUROS  CON CINCUENTA Y OCHO CENTIMOS</w:t>
      </w:r>
      <w:r w:rsidRPr="00303CEE">
        <w:rPr>
          <w:rFonts w:ascii="Arial" w:hAnsi="Arial" w:cs="Arial"/>
          <w:sz w:val="24"/>
          <w:szCs w:val="24"/>
        </w:rPr>
        <w:t xml:space="preserve"> (</w:t>
      </w:r>
      <w:r w:rsidR="003316FA">
        <w:rPr>
          <w:rFonts w:ascii="Arial" w:hAnsi="Arial" w:cs="Arial"/>
          <w:color w:val="FF0000"/>
          <w:sz w:val="24"/>
          <w:szCs w:val="24"/>
        </w:rPr>
        <w:t xml:space="preserve">45,58 </w:t>
      </w:r>
      <w:r w:rsidRPr="00303CEE">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rPr>
        <w:t xml:space="preserve">como consecuencia de las diferencias existentes entre la cuantía efectivamente satisfecha y la que debería haberse percibido. </w:t>
      </w:r>
    </w:p>
    <w:p w:rsidR="003565AA" w:rsidRDefault="003565AA" w:rsidP="00964092">
      <w:pPr>
        <w:spacing w:before="240" w:line="300" w:lineRule="auto"/>
        <w:jc w:val="both"/>
        <w:rPr>
          <w:rFonts w:ascii="Arial" w:hAnsi="Arial" w:cs="Arial"/>
          <w:sz w:val="24"/>
          <w:szCs w:val="24"/>
        </w:rPr>
      </w:pPr>
      <w:r>
        <w:rPr>
          <w:rFonts w:ascii="Arial" w:hAnsi="Arial" w:cs="Arial"/>
          <w:sz w:val="24"/>
          <w:szCs w:val="24"/>
        </w:rPr>
        <w:tab/>
        <w:t xml:space="preserve">Debemos mencionar que las cuantías correspondientes a </w:t>
      </w:r>
      <w:r w:rsidRPr="00453020">
        <w:rPr>
          <w:rFonts w:ascii="Arial" w:hAnsi="Arial" w:cs="Arial"/>
          <w:sz w:val="24"/>
          <w:szCs w:val="24"/>
        </w:rPr>
        <w:t xml:space="preserve">los meses de enero y febrero de cada año se han </w:t>
      </w:r>
      <w:r>
        <w:rPr>
          <w:rFonts w:ascii="Arial" w:hAnsi="Arial" w:cs="Arial"/>
          <w:sz w:val="24"/>
          <w:szCs w:val="24"/>
        </w:rPr>
        <w:t>calculado</w:t>
      </w:r>
      <w:r w:rsidRPr="00453020">
        <w:rPr>
          <w:rFonts w:ascii="Arial" w:hAnsi="Arial" w:cs="Arial"/>
          <w:sz w:val="24"/>
          <w:szCs w:val="24"/>
        </w:rPr>
        <w:t xml:space="preserve"> conforme a los Complementos de Destino del año respectivo anterior, </w:t>
      </w:r>
      <w:r>
        <w:rPr>
          <w:rFonts w:ascii="Arial" w:hAnsi="Arial" w:cs="Arial"/>
          <w:sz w:val="24"/>
          <w:szCs w:val="24"/>
        </w:rPr>
        <w:t>y ello por cuanto como es sabido</w:t>
      </w:r>
      <w:r w:rsidRPr="00453020">
        <w:rPr>
          <w:rFonts w:ascii="Arial" w:hAnsi="Arial" w:cs="Arial"/>
          <w:sz w:val="24"/>
          <w:szCs w:val="24"/>
        </w:rPr>
        <w:t xml:space="preserve"> </w:t>
      </w:r>
      <w:r>
        <w:rPr>
          <w:rFonts w:ascii="Arial" w:hAnsi="Arial" w:cs="Arial"/>
          <w:sz w:val="24"/>
          <w:szCs w:val="24"/>
        </w:rPr>
        <w:t xml:space="preserve">en los meses de </w:t>
      </w:r>
      <w:r w:rsidRPr="00453020">
        <w:rPr>
          <w:rFonts w:ascii="Arial" w:hAnsi="Arial" w:cs="Arial"/>
          <w:sz w:val="24"/>
          <w:szCs w:val="24"/>
        </w:rPr>
        <w:t>enero y febrero se abona la productividad generada en noviembre y diciembre de cada año anterior.</w:t>
      </w:r>
    </w:p>
    <w:p w:rsidR="003565AA" w:rsidRPr="00453020" w:rsidRDefault="003565AA" w:rsidP="00310941">
      <w:pPr>
        <w:spacing w:before="240" w:line="300" w:lineRule="auto"/>
        <w:jc w:val="both"/>
        <w:rPr>
          <w:rFonts w:ascii="Arial" w:hAnsi="Arial" w:cs="Arial"/>
          <w:sz w:val="24"/>
          <w:szCs w:val="24"/>
        </w:rPr>
      </w:pPr>
      <w:r>
        <w:rPr>
          <w:rFonts w:ascii="Arial" w:hAnsi="Arial" w:cs="Arial"/>
          <w:sz w:val="24"/>
          <w:szCs w:val="24"/>
        </w:rPr>
        <w:tab/>
      </w:r>
    </w:p>
    <w:p w:rsidR="003565AA" w:rsidRDefault="003565AA" w:rsidP="000D730F">
      <w:pPr>
        <w:spacing w:before="240" w:line="300" w:lineRule="auto"/>
        <w:jc w:val="both"/>
        <w:rPr>
          <w:rFonts w:ascii="Arial" w:hAnsi="Arial" w:cs="Arial"/>
          <w:sz w:val="24"/>
          <w:szCs w:val="24"/>
        </w:rPr>
      </w:pPr>
      <w:r>
        <w:rPr>
          <w:rFonts w:ascii="Arial" w:hAnsi="Arial" w:cs="Arial"/>
          <w:sz w:val="24"/>
          <w:szCs w:val="24"/>
        </w:rPr>
        <w:tab/>
      </w:r>
      <w:r w:rsidRPr="000D730F">
        <w:rPr>
          <w:rFonts w:ascii="Arial" w:hAnsi="Arial" w:cs="Arial"/>
          <w:sz w:val="24"/>
          <w:szCs w:val="24"/>
        </w:rPr>
        <w:t xml:space="preserve">Por todo lo expuesto </w:t>
      </w:r>
      <w:r>
        <w:rPr>
          <w:rFonts w:ascii="Arial" w:hAnsi="Arial" w:cs="Arial"/>
          <w:sz w:val="24"/>
          <w:szCs w:val="24"/>
        </w:rPr>
        <w:t xml:space="preserve">respetuosamente: </w:t>
      </w:r>
    </w:p>
    <w:p w:rsidR="003565AA" w:rsidRDefault="003565AA" w:rsidP="000D730F">
      <w:pPr>
        <w:spacing w:before="240" w:line="300" w:lineRule="auto"/>
        <w:jc w:val="both"/>
        <w:rPr>
          <w:rFonts w:ascii="Arial" w:hAnsi="Arial" w:cs="Arial"/>
          <w:sz w:val="24"/>
          <w:szCs w:val="24"/>
        </w:rPr>
      </w:pPr>
      <w:r>
        <w:rPr>
          <w:rFonts w:ascii="Arial" w:hAnsi="Arial" w:cs="Arial"/>
          <w:sz w:val="24"/>
          <w:szCs w:val="24"/>
        </w:rPr>
        <w:tab/>
      </w:r>
      <w:r w:rsidRPr="000D730F">
        <w:rPr>
          <w:rFonts w:ascii="Arial" w:hAnsi="Arial" w:cs="Arial"/>
          <w:b/>
          <w:bCs/>
          <w:sz w:val="24"/>
          <w:szCs w:val="24"/>
        </w:rPr>
        <w:t>SOLICITO A LA EXCMA. SRA. DIRECTORA GENERAL DE LA GUARDIA CIVIL</w:t>
      </w:r>
      <w:r>
        <w:rPr>
          <w:rFonts w:ascii="Arial" w:hAnsi="Arial" w:cs="Arial"/>
          <w:sz w:val="24"/>
          <w:szCs w:val="24"/>
        </w:rPr>
        <w:t>;</w:t>
      </w:r>
      <w:r w:rsidRPr="000D730F">
        <w:rPr>
          <w:rFonts w:ascii="Arial" w:hAnsi="Arial" w:cs="Arial"/>
          <w:sz w:val="24"/>
          <w:szCs w:val="24"/>
        </w:rPr>
        <w:t xml:space="preserve"> que tenga por presentado este escrito, se sirva admitirlo y en su virtud, previos trámites administrativos oportunos, dicte en su día Resolución por la que se acuerde actualizar el complemento de productividad estructural en su modalidad</w:t>
      </w:r>
      <w:r>
        <w:rPr>
          <w:rFonts w:ascii="Arial" w:hAnsi="Arial" w:cs="Arial"/>
          <w:sz w:val="24"/>
          <w:szCs w:val="24"/>
        </w:rPr>
        <w:t xml:space="preserve"> </w:t>
      </w:r>
      <w:r w:rsidR="003316FA" w:rsidRPr="003316FA">
        <w:rPr>
          <w:rFonts w:ascii="Arial" w:hAnsi="Arial" w:cs="Arial"/>
          <w:sz w:val="24"/>
          <w:szCs w:val="24"/>
        </w:rPr>
        <w:t xml:space="preserve">ERG1 y ERG2, percibido por </w:t>
      </w:r>
      <w:r w:rsidR="00FD79A7" w:rsidRPr="00FD79A7">
        <w:rPr>
          <w:rFonts w:ascii="Arial" w:hAnsi="Arial" w:cs="Arial"/>
          <w:color w:val="FF0000"/>
          <w:sz w:val="24"/>
          <w:szCs w:val="24"/>
        </w:rPr>
        <w:t>EL/LA</w:t>
      </w:r>
      <w:r w:rsidR="003316FA" w:rsidRPr="00FD79A7">
        <w:rPr>
          <w:rFonts w:ascii="Arial" w:hAnsi="Arial" w:cs="Arial"/>
          <w:color w:val="FF0000"/>
          <w:sz w:val="24"/>
          <w:szCs w:val="24"/>
        </w:rPr>
        <w:t xml:space="preserve"> GUARDIA CIVIL D/</w:t>
      </w:r>
      <w:r w:rsidR="00FD79A7" w:rsidRPr="00FD79A7">
        <w:rPr>
          <w:rFonts w:ascii="Arial" w:hAnsi="Arial" w:cs="Arial"/>
          <w:color w:val="FF0000"/>
          <w:sz w:val="24"/>
          <w:szCs w:val="24"/>
        </w:rPr>
        <w:t>Dña.</w:t>
      </w:r>
      <w:r w:rsidR="003316FA" w:rsidRPr="00FD79A7">
        <w:rPr>
          <w:rFonts w:ascii="Arial" w:hAnsi="Arial" w:cs="Arial"/>
          <w:color w:val="FF0000"/>
          <w:sz w:val="24"/>
          <w:szCs w:val="24"/>
        </w:rPr>
        <w:t xml:space="preserve">………………………………., </w:t>
      </w:r>
      <w:r w:rsidR="003316FA" w:rsidRPr="003316FA">
        <w:rPr>
          <w:rFonts w:ascii="Arial" w:hAnsi="Arial" w:cs="Arial"/>
          <w:sz w:val="24"/>
          <w:szCs w:val="24"/>
        </w:rPr>
        <w:t xml:space="preserve">desde el año 2020 hasta la entrada en vigor de la Orden General número 4 de 12 de febrero de 2021 </w:t>
      </w:r>
      <w:r w:rsidRPr="000D730F">
        <w:rPr>
          <w:rFonts w:ascii="Arial" w:hAnsi="Arial" w:cs="Arial"/>
          <w:sz w:val="24"/>
          <w:szCs w:val="24"/>
        </w:rPr>
        <w:t xml:space="preserve">por la que se regulan los incentivos al rendimiento del personal de la Guardia Civil, </w:t>
      </w:r>
      <w:r>
        <w:rPr>
          <w:rFonts w:ascii="Arial" w:hAnsi="Arial" w:cs="Arial"/>
          <w:sz w:val="24"/>
          <w:szCs w:val="24"/>
        </w:rPr>
        <w:t xml:space="preserve">y por tanto se proceda al </w:t>
      </w:r>
      <w:r w:rsidRPr="000D730F">
        <w:rPr>
          <w:rFonts w:ascii="Arial" w:hAnsi="Arial" w:cs="Arial"/>
          <w:sz w:val="24"/>
          <w:szCs w:val="24"/>
        </w:rPr>
        <w:t>abon</w:t>
      </w:r>
      <w:r>
        <w:rPr>
          <w:rFonts w:ascii="Arial" w:hAnsi="Arial" w:cs="Arial"/>
          <w:sz w:val="24"/>
          <w:szCs w:val="24"/>
        </w:rPr>
        <w:t>o</w:t>
      </w:r>
      <w:r w:rsidRPr="000D730F">
        <w:rPr>
          <w:rFonts w:ascii="Arial" w:hAnsi="Arial" w:cs="Arial"/>
          <w:sz w:val="24"/>
          <w:szCs w:val="24"/>
        </w:rPr>
        <w:t xml:space="preserve"> </w:t>
      </w:r>
      <w:r>
        <w:rPr>
          <w:rFonts w:ascii="Arial" w:hAnsi="Arial" w:cs="Arial"/>
          <w:sz w:val="24"/>
          <w:szCs w:val="24"/>
        </w:rPr>
        <w:t>a esta parte de</w:t>
      </w:r>
      <w:r w:rsidRPr="000D730F">
        <w:rPr>
          <w:rFonts w:ascii="Arial" w:hAnsi="Arial" w:cs="Arial"/>
          <w:sz w:val="24"/>
          <w:szCs w:val="24"/>
        </w:rPr>
        <w:t xml:space="preserve"> la</w:t>
      </w:r>
      <w:r>
        <w:rPr>
          <w:rFonts w:ascii="Arial" w:hAnsi="Arial" w:cs="Arial"/>
          <w:sz w:val="24"/>
          <w:szCs w:val="24"/>
        </w:rPr>
        <w:t xml:space="preserve">s cantidades no percibidas por la </w:t>
      </w:r>
      <w:r w:rsidRPr="000D730F">
        <w:rPr>
          <w:rFonts w:ascii="Arial" w:hAnsi="Arial" w:cs="Arial"/>
          <w:sz w:val="24"/>
          <w:szCs w:val="24"/>
        </w:rPr>
        <w:t>diferencia</w:t>
      </w:r>
      <w:r>
        <w:rPr>
          <w:rFonts w:ascii="Arial" w:hAnsi="Arial" w:cs="Arial"/>
          <w:sz w:val="24"/>
          <w:szCs w:val="24"/>
        </w:rPr>
        <w:t xml:space="preserve"> existente</w:t>
      </w:r>
      <w:r w:rsidRPr="000D730F">
        <w:rPr>
          <w:rFonts w:ascii="Arial" w:hAnsi="Arial" w:cs="Arial"/>
          <w:sz w:val="24"/>
          <w:szCs w:val="24"/>
        </w:rPr>
        <w:t xml:space="preserve"> entre </w:t>
      </w:r>
      <w:r>
        <w:rPr>
          <w:rFonts w:ascii="Arial" w:hAnsi="Arial" w:cs="Arial"/>
          <w:sz w:val="24"/>
          <w:szCs w:val="24"/>
        </w:rPr>
        <w:t xml:space="preserve">las cantidades efectivamente satisfechas </w:t>
      </w:r>
      <w:r w:rsidRPr="00522A16">
        <w:rPr>
          <w:rFonts w:ascii="Arial" w:hAnsi="Arial" w:cs="Arial"/>
          <w:sz w:val="24"/>
          <w:szCs w:val="24"/>
        </w:rPr>
        <w:t xml:space="preserve">en concepto de productividad estructural de Mayo a Diciembre de 2017, año 2018, año 2019,  año 2020 y Enero y Febrero de 2021, con la que correspondería haber </w:t>
      </w:r>
      <w:r>
        <w:rPr>
          <w:rFonts w:ascii="Arial" w:hAnsi="Arial" w:cs="Arial"/>
          <w:sz w:val="24"/>
          <w:szCs w:val="24"/>
        </w:rPr>
        <w:t>percibido</w:t>
      </w:r>
      <w:r w:rsidRPr="00522A16">
        <w:rPr>
          <w:rFonts w:ascii="Arial" w:hAnsi="Arial" w:cs="Arial"/>
          <w:sz w:val="24"/>
          <w:szCs w:val="24"/>
        </w:rPr>
        <w:t xml:space="preserve"> conforme a los incrementos  establecidos para el Complemento de Destino</w:t>
      </w:r>
      <w:r w:rsidRPr="000D730F">
        <w:rPr>
          <w:rFonts w:ascii="Arial" w:hAnsi="Arial" w:cs="Arial"/>
          <w:sz w:val="24"/>
          <w:szCs w:val="24"/>
        </w:rPr>
        <w:t xml:space="preserve"> en las diversas leyes de Presupuestos Generales del Estado;</w:t>
      </w:r>
      <w:r>
        <w:rPr>
          <w:rFonts w:ascii="Arial" w:hAnsi="Arial" w:cs="Arial"/>
          <w:sz w:val="24"/>
          <w:szCs w:val="24"/>
        </w:rPr>
        <w:t xml:space="preserve"> </w:t>
      </w:r>
      <w:r w:rsidRPr="00964092">
        <w:rPr>
          <w:rFonts w:ascii="Arial" w:hAnsi="Arial" w:cs="Arial"/>
          <w:sz w:val="24"/>
          <w:szCs w:val="24"/>
        </w:rPr>
        <w:t>y que</w:t>
      </w:r>
      <w:r>
        <w:rPr>
          <w:rFonts w:ascii="Arial" w:hAnsi="Arial" w:cs="Arial"/>
          <w:sz w:val="24"/>
          <w:szCs w:val="24"/>
        </w:rPr>
        <w:t xml:space="preserve"> salvo error u omisión</w:t>
      </w:r>
      <w:r w:rsidRPr="00964092">
        <w:rPr>
          <w:rFonts w:ascii="Arial" w:hAnsi="Arial" w:cs="Arial"/>
          <w:sz w:val="24"/>
          <w:szCs w:val="24"/>
        </w:rPr>
        <w:t xml:space="preserve"> se corresponden </w:t>
      </w:r>
      <w:r w:rsidR="003316FA" w:rsidRPr="00FD79A7">
        <w:rPr>
          <w:rFonts w:ascii="Arial" w:hAnsi="Arial" w:cs="Arial"/>
          <w:color w:val="FF0000"/>
          <w:sz w:val="24"/>
          <w:szCs w:val="24"/>
        </w:rPr>
        <w:t>UNA DIFERENCIA TOTAL DE CUARENTA Y CINCO EUROS CON CINCUENTA Y OCHO CENTIMOS (45,58 €)</w:t>
      </w:r>
      <w:r w:rsidR="003316FA">
        <w:rPr>
          <w:rFonts w:ascii="Arial" w:hAnsi="Arial" w:cs="Arial"/>
          <w:sz w:val="24"/>
          <w:szCs w:val="24"/>
        </w:rPr>
        <w:t>,</w:t>
      </w:r>
      <w:r>
        <w:rPr>
          <w:rFonts w:ascii="Arial" w:hAnsi="Arial" w:cs="Arial"/>
          <w:sz w:val="24"/>
          <w:szCs w:val="24"/>
        </w:rPr>
        <w:t xml:space="preserve"> </w:t>
      </w:r>
      <w:r w:rsidRPr="000D730F">
        <w:rPr>
          <w:rFonts w:ascii="Arial" w:hAnsi="Arial" w:cs="Arial"/>
          <w:sz w:val="24"/>
          <w:szCs w:val="24"/>
        </w:rPr>
        <w:t>cantidad que deberá verse incrementada con los intereses legales correspondientes.</w:t>
      </w:r>
    </w:p>
    <w:p w:rsidR="003565AA" w:rsidRPr="000D730F" w:rsidRDefault="003565AA" w:rsidP="00B04567">
      <w:pPr>
        <w:spacing w:before="240" w:line="300" w:lineRule="auto"/>
        <w:jc w:val="center"/>
        <w:rPr>
          <w:rFonts w:ascii="Arial" w:hAnsi="Arial" w:cs="Arial"/>
          <w:sz w:val="24"/>
          <w:szCs w:val="24"/>
        </w:rPr>
      </w:pPr>
      <w:r w:rsidRPr="000D730F">
        <w:rPr>
          <w:rFonts w:ascii="Arial" w:hAnsi="Arial" w:cs="Arial"/>
          <w:sz w:val="24"/>
          <w:szCs w:val="24"/>
        </w:rPr>
        <w:t>E</w:t>
      </w:r>
      <w:r>
        <w:rPr>
          <w:rFonts w:ascii="Arial" w:hAnsi="Arial" w:cs="Arial"/>
          <w:sz w:val="24"/>
          <w:szCs w:val="24"/>
        </w:rPr>
        <w:t>s Justicia que pido e</w:t>
      </w:r>
      <w:r w:rsidRPr="000D730F">
        <w:rPr>
          <w:rFonts w:ascii="Arial" w:hAnsi="Arial" w:cs="Arial"/>
          <w:sz w:val="24"/>
          <w:szCs w:val="24"/>
        </w:rPr>
        <w:t xml:space="preserve">n </w:t>
      </w:r>
      <w:r w:rsidRPr="00B04567">
        <w:rPr>
          <w:rFonts w:ascii="Arial" w:hAnsi="Arial" w:cs="Arial"/>
          <w:color w:val="FF0000"/>
          <w:sz w:val="24"/>
          <w:szCs w:val="24"/>
        </w:rPr>
        <w:t>PROVINCIA</w:t>
      </w:r>
      <w:r>
        <w:rPr>
          <w:rFonts w:ascii="Arial" w:hAnsi="Arial" w:cs="Arial"/>
          <w:sz w:val="24"/>
          <w:szCs w:val="24"/>
        </w:rPr>
        <w:t>,</w:t>
      </w:r>
      <w:r w:rsidRPr="000D730F">
        <w:rPr>
          <w:rFonts w:ascii="Arial" w:hAnsi="Arial" w:cs="Arial"/>
          <w:sz w:val="24"/>
          <w:szCs w:val="24"/>
        </w:rPr>
        <w:t xml:space="preserve"> </w:t>
      </w:r>
      <w:r w:rsidR="003316FA">
        <w:rPr>
          <w:rFonts w:ascii="Arial" w:hAnsi="Arial" w:cs="Arial"/>
          <w:sz w:val="24"/>
          <w:szCs w:val="24"/>
        </w:rPr>
        <w:t>a</w:t>
      </w:r>
      <w:r w:rsidR="003316FA">
        <w:rPr>
          <w:rFonts w:ascii="Arial" w:hAnsi="Arial" w:cs="Arial"/>
          <w:color w:val="FF0000"/>
          <w:sz w:val="24"/>
          <w:szCs w:val="24"/>
        </w:rPr>
        <w:t>…</w:t>
      </w:r>
      <w:r w:rsidRPr="000D730F">
        <w:rPr>
          <w:rFonts w:ascii="Arial" w:hAnsi="Arial" w:cs="Arial"/>
          <w:sz w:val="24"/>
          <w:szCs w:val="24"/>
        </w:rPr>
        <w:t xml:space="preserve">de </w:t>
      </w:r>
      <w:r>
        <w:rPr>
          <w:rFonts w:ascii="Arial" w:hAnsi="Arial" w:cs="Arial"/>
          <w:sz w:val="24"/>
          <w:szCs w:val="24"/>
        </w:rPr>
        <w:t>mayo</w:t>
      </w:r>
      <w:r w:rsidRPr="000D730F">
        <w:rPr>
          <w:rFonts w:ascii="Arial" w:hAnsi="Arial" w:cs="Arial"/>
          <w:sz w:val="24"/>
          <w:szCs w:val="24"/>
        </w:rPr>
        <w:t xml:space="preserve"> de 2021</w:t>
      </w:r>
    </w:p>
    <w:p w:rsidR="003565AA" w:rsidRPr="000D730F" w:rsidRDefault="003565AA" w:rsidP="000D730F">
      <w:pPr>
        <w:spacing w:before="240" w:line="300" w:lineRule="auto"/>
        <w:jc w:val="both"/>
        <w:rPr>
          <w:rFonts w:ascii="Arial" w:hAnsi="Arial" w:cs="Arial"/>
          <w:sz w:val="24"/>
          <w:szCs w:val="24"/>
        </w:rPr>
      </w:pPr>
    </w:p>
    <w:p w:rsidR="003565AA" w:rsidRPr="000D730F" w:rsidRDefault="003565AA" w:rsidP="000D730F">
      <w:pPr>
        <w:spacing w:before="240" w:line="300" w:lineRule="auto"/>
        <w:jc w:val="both"/>
        <w:rPr>
          <w:rFonts w:ascii="Arial" w:hAnsi="Arial" w:cs="Arial"/>
          <w:sz w:val="24"/>
          <w:szCs w:val="24"/>
        </w:rPr>
      </w:pPr>
    </w:p>
    <w:p w:rsidR="003565AA" w:rsidRPr="00B04567" w:rsidRDefault="003565AA" w:rsidP="000D730F">
      <w:pPr>
        <w:spacing w:before="240" w:line="300" w:lineRule="auto"/>
        <w:jc w:val="center"/>
        <w:rPr>
          <w:rFonts w:ascii="Arial" w:hAnsi="Arial" w:cs="Arial"/>
          <w:color w:val="FF0000"/>
          <w:sz w:val="24"/>
          <w:szCs w:val="24"/>
        </w:rPr>
      </w:pPr>
      <w:r w:rsidRPr="00B04567">
        <w:rPr>
          <w:rFonts w:ascii="Arial" w:hAnsi="Arial" w:cs="Arial"/>
          <w:color w:val="FF0000"/>
          <w:sz w:val="24"/>
          <w:szCs w:val="24"/>
        </w:rPr>
        <w:t>Fdo. NOMBRE Y APELLIDOS</w:t>
      </w:r>
    </w:p>
    <w:sectPr w:rsidR="003565AA" w:rsidRPr="00B04567" w:rsidSect="00DC1BD8">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1633" w:rsidRDefault="00631633" w:rsidP="00404E84">
      <w:pPr>
        <w:spacing w:after="0" w:line="240" w:lineRule="auto"/>
      </w:pPr>
      <w:r>
        <w:separator/>
      </w:r>
    </w:p>
  </w:endnote>
  <w:endnote w:type="continuationSeparator" w:id="0">
    <w:p w:rsidR="00631633" w:rsidRDefault="00631633" w:rsidP="0040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5AA" w:rsidRDefault="003565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5AA" w:rsidRDefault="003565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5AA" w:rsidRDefault="00BF2D0D">
    <w:pPr>
      <w:pStyle w:val="Piedepgina"/>
      <w:jc w:val="right"/>
    </w:pPr>
    <w:r>
      <w:fldChar w:fldCharType="begin"/>
    </w:r>
    <w:r>
      <w:instrText>PAGE   \* MERGEFORMAT</w:instrText>
    </w:r>
    <w:r>
      <w:fldChar w:fldCharType="separate"/>
    </w:r>
    <w:r w:rsidR="00FD79A7">
      <w:rPr>
        <w:noProof/>
      </w:rPr>
      <w:t>1</w:t>
    </w:r>
    <w:r>
      <w:rPr>
        <w:noProof/>
      </w:rPr>
      <w:fldChar w:fldCharType="end"/>
    </w:r>
  </w:p>
  <w:p w:rsidR="003565AA" w:rsidRDefault="003565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1633" w:rsidRDefault="00631633" w:rsidP="00404E84">
      <w:pPr>
        <w:spacing w:after="0" w:line="240" w:lineRule="auto"/>
      </w:pPr>
      <w:r>
        <w:separator/>
      </w:r>
    </w:p>
  </w:footnote>
  <w:footnote w:type="continuationSeparator" w:id="0">
    <w:p w:rsidR="00631633" w:rsidRDefault="00631633" w:rsidP="0040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5AA" w:rsidRDefault="0050182C">
    <w:pPr>
      <w:pStyle w:val="Encabezado"/>
    </w:pPr>
    <w:r>
      <w:rPr>
        <w:noProof/>
        <w:lang w:eastAsia="es-ES"/>
      </w:rPr>
    </w:r>
    <w:r w:rsidR="0050182C">
      <w:rPr>
        <w:noProof/>
        <w:lang w:eastAsia="es-ES"/>
      </w:rPr>
      <w:pict w14:anchorId="459797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751" o:spid="_x0000_s1027" type="#_x0000_t136" style="position:absolute;margin-left:0;margin-top:0;width:516.2pt;height:83.25pt;rotation:315;z-index:-251658240;mso-position-horizontal:center;mso-position-horizontal-relative:margin;mso-position-vertical:center;mso-position-vertical-relative:margin" o:allowincell="f" fillcolor="silver" stroked="f">
          <v:fill opacity=".5"/>
          <v:textpath style="font-family:&quot;Calibri&quot;;font-size:1pt" string="HABLANDO CLA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5AA" w:rsidRDefault="0050182C">
    <w:pPr>
      <w:pStyle w:val="Encabezado"/>
    </w:pPr>
    <w:r>
      <w:rPr>
        <w:noProof/>
        <w:lang w:eastAsia="es-ES"/>
      </w:rPr>
    </w:r>
    <w:r w:rsidR="0050182C">
      <w:rPr>
        <w:noProof/>
        <w:lang w:eastAsia="es-ES"/>
      </w:rPr>
      <w:pict w14:anchorId="089FF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752" o:spid="_x0000_s1026" type="#_x0000_t136" style="position:absolute;margin-left:0;margin-top:0;width:516.2pt;height:83.25pt;rotation:315;z-index:-251658240;mso-position-horizontal:center;mso-position-horizontal-relative:margin;mso-position-vertical:center;mso-position-vertical-relative:margin" o:allowincell="f" fillcolor="silver" stroked="f">
          <v:fill opacity=".5"/>
          <v:textpath style="font-family:&quot;Calibri&quot;;font-size:1pt" string="HABLANDO CLARO"/>
          <w10:wrap anchorx="margin" anchory="margin"/>
        </v:shape>
      </w:pict>
    </w:r>
    <w:r w:rsidR="00BF2D0D">
      <w:rPr>
        <w:noProof/>
        <w:lang w:eastAsia="es-ES"/>
      </w:rPr>
      <w:drawing>
        <wp:anchor distT="0" distB="0" distL="114300" distR="114300" simplePos="0" relativeHeight="251655680" behindDoc="0" locked="0" layoutInCell="1" allowOverlap="1" wp14:anchorId="7A0FA1D4">
          <wp:simplePos x="0" y="0"/>
          <wp:positionH relativeFrom="column">
            <wp:posOffset>1682750</wp:posOffset>
          </wp:positionH>
          <wp:positionV relativeFrom="paragraph">
            <wp:posOffset>-261620</wp:posOffset>
          </wp:positionV>
          <wp:extent cx="2035175" cy="555625"/>
          <wp:effectExtent l="0" t="0" r="0"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555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5AA" w:rsidRDefault="0050182C">
    <w:pPr>
      <w:pStyle w:val="Encabezado"/>
    </w:pPr>
    <w:r>
      <w:rPr>
        <w:noProof/>
        <w:lang w:eastAsia="es-ES"/>
      </w:rPr>
    </w:r>
    <w:r w:rsidR="0050182C">
      <w:rPr>
        <w:noProof/>
        <w:lang w:eastAsia="es-ES"/>
      </w:rPr>
      <w:pict w14:anchorId="0BD69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750" o:spid="_x0000_s1025" type="#_x0000_t136" style="position:absolute;margin-left:0;margin-top:0;width:516.2pt;height:83.25pt;rotation:315;z-index:-251658240;mso-position-horizontal:center;mso-position-horizontal-relative:margin;mso-position-vertical:center;mso-position-vertical-relative:margin" o:allowincell="f" fillcolor="silver" stroked="f">
          <v:fill opacity=".5"/>
          <v:textpath style="font-family:&quot;Calibri&quot;;font-size:1pt" string="HABLANDO CLARO"/>
          <w10:wrap anchorx="margin" anchory="margin"/>
        </v:shape>
      </w:pict>
    </w:r>
    <w:r w:rsidR="00BF2D0D">
      <w:rPr>
        <w:noProof/>
        <w:lang w:eastAsia="es-ES"/>
      </w:rPr>
      <w:drawing>
        <wp:anchor distT="0" distB="0" distL="114300" distR="114300" simplePos="0" relativeHeight="251656704" behindDoc="0" locked="0" layoutInCell="1" allowOverlap="1" wp14:anchorId="775BE6F1">
          <wp:simplePos x="0" y="0"/>
          <wp:positionH relativeFrom="margin">
            <wp:posOffset>1382395</wp:posOffset>
          </wp:positionH>
          <wp:positionV relativeFrom="margin">
            <wp:posOffset>-748665</wp:posOffset>
          </wp:positionV>
          <wp:extent cx="2635250" cy="1382395"/>
          <wp:effectExtent l="0" t="0" r="0" b="0"/>
          <wp:wrapSquare wrapText="bothSides"/>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50" cy="13823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F7E"/>
    <w:rsid w:val="00003070"/>
    <w:rsid w:val="000D730F"/>
    <w:rsid w:val="00144EE3"/>
    <w:rsid w:val="001649D1"/>
    <w:rsid w:val="00196DC4"/>
    <w:rsid w:val="002040E7"/>
    <w:rsid w:val="0027485C"/>
    <w:rsid w:val="00274F7E"/>
    <w:rsid w:val="00303CEE"/>
    <w:rsid w:val="00310941"/>
    <w:rsid w:val="00321511"/>
    <w:rsid w:val="003316FA"/>
    <w:rsid w:val="003565AA"/>
    <w:rsid w:val="003B51F9"/>
    <w:rsid w:val="003C5581"/>
    <w:rsid w:val="00404E84"/>
    <w:rsid w:val="0044386C"/>
    <w:rsid w:val="00453020"/>
    <w:rsid w:val="0050182C"/>
    <w:rsid w:val="00522A16"/>
    <w:rsid w:val="0053332C"/>
    <w:rsid w:val="005F6236"/>
    <w:rsid w:val="00610FA8"/>
    <w:rsid w:val="00631633"/>
    <w:rsid w:val="00641249"/>
    <w:rsid w:val="00676CBB"/>
    <w:rsid w:val="006B2D34"/>
    <w:rsid w:val="006C42C9"/>
    <w:rsid w:val="006F4253"/>
    <w:rsid w:val="00707B5E"/>
    <w:rsid w:val="00775214"/>
    <w:rsid w:val="00792424"/>
    <w:rsid w:val="007B0A88"/>
    <w:rsid w:val="007B1380"/>
    <w:rsid w:val="007C789B"/>
    <w:rsid w:val="007F03FA"/>
    <w:rsid w:val="008C7C8E"/>
    <w:rsid w:val="008F15AA"/>
    <w:rsid w:val="009070BC"/>
    <w:rsid w:val="009225D4"/>
    <w:rsid w:val="00953EC6"/>
    <w:rsid w:val="00964092"/>
    <w:rsid w:val="00A81559"/>
    <w:rsid w:val="00B04567"/>
    <w:rsid w:val="00B168B0"/>
    <w:rsid w:val="00BF2D0D"/>
    <w:rsid w:val="00C3652D"/>
    <w:rsid w:val="00C573C8"/>
    <w:rsid w:val="00C63491"/>
    <w:rsid w:val="00CA5E20"/>
    <w:rsid w:val="00D2132A"/>
    <w:rsid w:val="00DC1BD8"/>
    <w:rsid w:val="00E13953"/>
    <w:rsid w:val="00F14604"/>
    <w:rsid w:val="00FD6408"/>
    <w:rsid w:val="00FD79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CA2BF2FB-5AD4-5E43-9F2F-74446E5E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236"/>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04E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04E84"/>
    <w:rPr>
      <w:rFonts w:cs="Times New Roman"/>
    </w:rPr>
  </w:style>
  <w:style w:type="paragraph" w:styleId="Piedepgina">
    <w:name w:val="footer"/>
    <w:basedOn w:val="Normal"/>
    <w:link w:val="PiedepginaCar"/>
    <w:uiPriority w:val="99"/>
    <w:rsid w:val="00404E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04E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header3.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1617</Words>
  <Characters>8413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 Juridico 1</dc:creator>
  <cp:lastModifiedBy>Usuario invitado</cp:lastModifiedBy>
  <cp:revision>2</cp:revision>
  <dcterms:created xsi:type="dcterms:W3CDTF">2021-05-29T13:07:00Z</dcterms:created>
  <dcterms:modified xsi:type="dcterms:W3CDTF">2021-05-29T13:07:00Z</dcterms:modified>
</cp:coreProperties>
</file>